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6"/>
          <w:szCs w:val="36"/>
          <w:highlight w:val="none"/>
          <w:u w:val="single"/>
        </w:rPr>
      </w:pPr>
      <w:bookmarkStart w:id="8" w:name="_GoBack"/>
      <w:bookmarkEnd w:id="8"/>
    </w:p>
    <w:p>
      <w:pPr>
        <w:spacing w:line="360" w:lineRule="auto"/>
        <w:jc w:val="center"/>
        <w:rPr>
          <w:rFonts w:ascii="宋体" w:hAnsi="宋体"/>
          <w:b/>
          <w:color w:val="auto"/>
          <w:sz w:val="36"/>
          <w:szCs w:val="36"/>
          <w:highlight w:val="none"/>
          <w:u w:val="single"/>
        </w:rPr>
      </w:pPr>
    </w:p>
    <w:p>
      <w:pPr>
        <w:spacing w:line="360" w:lineRule="auto"/>
        <w:jc w:val="center"/>
        <w:rPr>
          <w:rFonts w:ascii="宋体" w:hAnsi="宋体"/>
          <w:b/>
          <w:color w:val="auto"/>
          <w:sz w:val="36"/>
          <w:szCs w:val="36"/>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南宁威凯智慧物业服务有限公司</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4-2025</w:t>
      </w:r>
      <w:r>
        <w:rPr>
          <w:rFonts w:ascii="宋体" w:hAnsi="宋体"/>
          <w:b/>
          <w:color w:val="auto"/>
          <w:sz w:val="36"/>
          <w:szCs w:val="36"/>
          <w:highlight w:val="none"/>
        </w:rPr>
        <w:t>年</w:t>
      </w:r>
      <w:r>
        <w:rPr>
          <w:rFonts w:hint="eastAsia" w:ascii="宋体" w:hAnsi="宋体"/>
          <w:b/>
          <w:color w:val="auto"/>
          <w:sz w:val="36"/>
          <w:szCs w:val="36"/>
          <w:highlight w:val="none"/>
          <w:lang w:val="en-US" w:eastAsia="zh-CN"/>
        </w:rPr>
        <w:t>五金工具物资</w:t>
      </w:r>
      <w:r>
        <w:rPr>
          <w:rFonts w:hint="eastAsia" w:ascii="宋体" w:hAnsi="宋体"/>
          <w:b/>
          <w:color w:val="auto"/>
          <w:sz w:val="36"/>
          <w:szCs w:val="36"/>
          <w:highlight w:val="none"/>
        </w:rPr>
        <w:t>采购合作协议</w:t>
      </w: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甲       方：</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乙       方：</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 xml:space="preserve">合 同 编 号：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 xml:space="preserve">签 订 日 期：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360" w:lineRule="auto"/>
        <w:rPr>
          <w:rFonts w:ascii="仿宋_GB2312" w:eastAsia="仿宋_GB2312"/>
          <w:color w:val="auto"/>
          <w:sz w:val="24"/>
          <w:szCs w:val="24"/>
          <w:highlight w:val="none"/>
        </w:rPr>
      </w:pP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甲方</w:t>
      </w:r>
      <w:r>
        <w:rPr>
          <w:rFonts w:hint="eastAsia" w:ascii="仿宋_GB2312" w:hAnsi="仿宋_GB2312" w:eastAsia="仿宋_GB2312" w:cs="仿宋_GB2312"/>
          <w:bCs/>
          <w:color w:val="auto"/>
          <w:sz w:val="28"/>
          <w:szCs w:val="28"/>
          <w:highlight w:val="none"/>
        </w:rPr>
        <w:t xml:space="preserve">：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统一社会信用代码：</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地址：                     </w:t>
      </w:r>
    </w:p>
    <w:p>
      <w:pPr>
        <w:spacing w:line="440" w:lineRule="exact"/>
        <w:rPr>
          <w:rFonts w:ascii="仿宋_GB2312" w:hAnsi="仿宋_GB2312" w:eastAsia="仿宋_GB2312" w:cs="仿宋_GB2312"/>
          <w:bCs/>
          <w:color w:val="auto"/>
          <w:sz w:val="28"/>
          <w:szCs w:val="28"/>
          <w:highlight w:val="none"/>
        </w:rPr>
      </w:pPr>
    </w:p>
    <w:p>
      <w:pPr>
        <w:spacing w:line="44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乙方</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color w:val="auto"/>
          <w:sz w:val="28"/>
          <w:szCs w:val="28"/>
          <w:highlight w:val="none"/>
        </w:rPr>
        <w:t xml:space="preserve">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统一社会信用代码：</w:t>
      </w:r>
    </w:p>
    <w:p>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地址：                                                           </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spacing w:line="44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1"/>
          <w:highlight w:val="none"/>
        </w:rPr>
        <w:t>一、根据《民法典》《消费者权益保护法》及相关法律法规的规定，双方经友好协商，在平等、自愿、公平、诚实信用、守法的原则下签订本合同，以兹共同遵守。</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本协议为定点合作协议。具体事宜根据甲方各个服务项目的需求，由乙方供货至甲方各个服务项目点。</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二、合作期限</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双方合作期限为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自签订合同之日起一年</w:t>
      </w:r>
      <w:r>
        <w:rPr>
          <w:rFonts w:hint="eastAsia" w:ascii="仿宋_GB2312" w:hAnsi="仿宋_GB2312" w:eastAsia="仿宋_GB2312" w:cs="仿宋_GB2312"/>
          <w:color w:val="auto"/>
          <w:sz w:val="28"/>
          <w:szCs w:val="28"/>
          <w:highlight w:val="none"/>
        </w:rPr>
        <w:t>。合作期限届满后，双方如有意继续合作的，应另行签订定点合作协议。本协议对上述期限届满日前供需方之间已生效的采购，但至届满日尚未履行完毕的继续有效。</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三、采购、服务价格</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1．采购、服务价格按双方约定的《价格清单》（详见附件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）确定，乙方承诺在本协议有效期内不作任何价格的调整（本协议另有约定除外）。</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2．价格为综合单价包干，暂定</w:t>
      </w:r>
      <w:r>
        <w:rPr>
          <w:rFonts w:hint="eastAsia" w:ascii="仿宋_GB2312" w:hAnsi="仿宋_GB2312" w:eastAsia="仿宋_GB2312" w:cs="仿宋_GB2312"/>
          <w:color w:val="auto"/>
          <w:sz w:val="28"/>
          <w:szCs w:val="28"/>
          <w:highlight w:val="none"/>
          <w:lang w:val="en-US" w:eastAsia="zh-CN"/>
        </w:rPr>
        <w:t>不含税总价为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含税</w:t>
      </w:r>
      <w:r>
        <w:rPr>
          <w:rFonts w:hint="eastAsia" w:ascii="仿宋_GB2312" w:hAnsi="仿宋_GB2312" w:eastAsia="仿宋_GB2312" w:cs="仿宋_GB2312"/>
          <w:color w:val="auto"/>
          <w:sz w:val="28"/>
          <w:szCs w:val="28"/>
          <w:highlight w:val="none"/>
        </w:rPr>
        <w:t>总价为：</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提供增值税专用发票13%，</w:t>
      </w:r>
      <w:r>
        <w:rPr>
          <w:rFonts w:hint="eastAsia" w:ascii="仿宋_GB2312" w:hAnsi="仿宋_GB2312" w:eastAsia="仿宋_GB2312" w:cs="仿宋_GB2312"/>
          <w:color w:val="auto"/>
          <w:sz w:val="28"/>
          <w:szCs w:val="28"/>
          <w:highlight w:val="none"/>
        </w:rPr>
        <w:t>包括但不限于</w:t>
      </w:r>
      <w:r>
        <w:rPr>
          <w:rFonts w:hint="eastAsia" w:ascii="仿宋_GB2312" w:hAnsi="仿宋_GB2312" w:eastAsia="仿宋_GB2312" w:cs="仿宋_GB2312"/>
          <w:color w:val="auto"/>
          <w:sz w:val="28"/>
          <w:szCs w:val="28"/>
          <w:highlight w:val="none"/>
          <w:u w:val="single"/>
        </w:rPr>
        <w:t>材料费、人工费、运输费、搬运费、售后服务费、损耗费、管理费、利润、各项税费、责任义务等各项费用，以及乙方给予甲方的所有有关优惠等</w:t>
      </w:r>
      <w:r>
        <w:rPr>
          <w:rFonts w:hint="eastAsia" w:ascii="仿宋_GB2312" w:hAnsi="仿宋_GB2312" w:eastAsia="仿宋_GB2312" w:cs="仿宋_GB2312"/>
          <w:color w:val="auto"/>
          <w:sz w:val="28"/>
          <w:szCs w:val="28"/>
          <w:highlight w:val="none"/>
        </w:rPr>
        <w:t xml:space="preserve">。以实际发生采购结算。                                                                                              </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3．如乙方有新型号产品上市或《价格清单》未包含的产品，而甲方决定纳入本协议的，服务价格参照《价格清单》中相似产品的价格与当时市场指导价之下浮率同等比例下浮。</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4．支付方式：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按采购批次结算与支付，当批次货物均到货验收合格后，乙方提供相应送货单、验收单、增值税发票，经审核后30个工作日内付款。</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5.履约保证</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履约保证金：乙方应于本协议签订后10个工作日内，向甲方提供人民币</w:t>
      </w:r>
      <w:r>
        <w:rPr>
          <w:rFonts w:hint="eastAsia" w:ascii="仿宋_GB2312" w:hAnsi="仿宋_GB2312" w:eastAsia="仿宋_GB2312" w:cs="仿宋_GB2312"/>
          <w:color w:val="auto"/>
          <w:sz w:val="28"/>
          <w:szCs w:val="28"/>
          <w:highlight w:val="none"/>
          <w:lang w:val="en-US" w:eastAsia="zh-CN"/>
        </w:rPr>
        <w:t>伍</w:t>
      </w:r>
      <w:r>
        <w:rPr>
          <w:rFonts w:hint="eastAsia" w:ascii="仿宋_GB2312" w:hAnsi="仿宋_GB2312" w:eastAsia="仿宋_GB2312" w:cs="仿宋_GB2312"/>
          <w:color w:val="auto"/>
          <w:sz w:val="28"/>
          <w:szCs w:val="28"/>
          <w:highlight w:val="none"/>
        </w:rPr>
        <w:t>仟元（￥</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000元）的履约保证金，甲方于乙方履行完本协议项下所有义务及最后一个单项目合同结算完成后15个工作日内无息退还该履约保证金。</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协议期内乙方违反下列任何情形之一的，视为未履约，甲方有权一次性扣除已缴纳全部履约保证金：</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（1）拒绝按照《价格清单》供货；</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（2）货物质量未达到约定要求且解决更换的。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履约保证金被扣除后，乙方在承接甲方其他项目时必须向甲方再次补缴等金额履约保证金，否则不得继续承接业务。</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四、货物、服务质量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保证供方向需方供应的产品服务符合该产品的国家标准、地方标准，没有国家标准、地方标准的应符合行业标准，同时应符合本协议及具体货物约定的特定标准；服务方应在提供服务时向需方提交服务人员的工作证明、身份证原件及复印件等。</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具体的服务质量标准详见本协议附件</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w:t>
      </w:r>
    </w:p>
    <w:p>
      <w:pPr>
        <w:spacing w:line="440" w:lineRule="exact"/>
        <w:ind w:firstLine="562" w:firstLineChars="200"/>
        <w:rPr>
          <w:rFonts w:ascii="仿宋_GB2312" w:hAnsi="仿宋_GB2312" w:eastAsia="仿宋_GB2312" w:cs="仿宋_GB2312"/>
          <w:b/>
          <w:color w:val="auto"/>
          <w:sz w:val="28"/>
          <w:szCs w:val="28"/>
          <w:highlight w:val="none"/>
        </w:rPr>
      </w:pPr>
      <w:bookmarkStart w:id="0" w:name="_Toc348970096"/>
      <w:r>
        <w:rPr>
          <w:rFonts w:hint="eastAsia" w:ascii="仿宋_GB2312" w:hAnsi="仿宋_GB2312" w:eastAsia="仿宋_GB2312" w:cs="仿宋_GB2312"/>
          <w:b/>
          <w:color w:val="auto"/>
          <w:sz w:val="28"/>
          <w:szCs w:val="28"/>
          <w:highlight w:val="none"/>
        </w:rPr>
        <w:t>五、服务地点</w:t>
      </w:r>
      <w:bookmarkEnd w:id="0"/>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服务地点为甲方所在城市项目及随时可能增加的新管理项目，详细服务地点按甲方通知为准。</w:t>
      </w:r>
    </w:p>
    <w:p>
      <w:pPr>
        <w:spacing w:line="440" w:lineRule="exact"/>
        <w:ind w:firstLine="562" w:firstLineChars="200"/>
        <w:rPr>
          <w:rFonts w:ascii="仿宋_GB2312" w:hAnsi="仿宋_GB2312" w:eastAsia="仿宋_GB2312" w:cs="仿宋_GB2312"/>
          <w:b/>
          <w:color w:val="auto"/>
          <w:sz w:val="28"/>
          <w:szCs w:val="28"/>
          <w:highlight w:val="none"/>
        </w:rPr>
      </w:pPr>
      <w:bookmarkStart w:id="1" w:name="_Toc348970100"/>
      <w:r>
        <w:rPr>
          <w:rFonts w:hint="eastAsia" w:ascii="仿宋_GB2312" w:hAnsi="仿宋_GB2312" w:eastAsia="仿宋_GB2312" w:cs="仿宋_GB2312"/>
          <w:b/>
          <w:color w:val="auto"/>
          <w:sz w:val="28"/>
          <w:szCs w:val="28"/>
          <w:highlight w:val="none"/>
        </w:rPr>
        <w:t>六、双方权利与义务</w:t>
      </w:r>
      <w:bookmarkEnd w:id="1"/>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1．甲方权利与义务</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（1）如甲方需要采购的相关产品在乙方经营范围内，而本协议书没有约定或没有确定价格，甲方有权利视乙方报价决定是否采用乙方产品。</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（2）甲方应向乙方知会项目的必要情况。</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（5）甲方有权随时对乙方进行考察，乙方不得拒绝。</w:t>
      </w:r>
    </w:p>
    <w:p>
      <w:pPr>
        <w:spacing w:line="440" w:lineRule="exact"/>
        <w:ind w:firstLine="560" w:firstLineChars="200"/>
        <w:rPr>
          <w:rFonts w:ascii="仿宋_GB2312" w:hAnsi="仿宋_GB2312" w:eastAsia="仿宋_GB2312" w:cs="仿宋_GB2312"/>
          <w:color w:val="auto"/>
          <w:sz w:val="28"/>
          <w:szCs w:val="28"/>
          <w:highlight w:val="none"/>
        </w:rPr>
      </w:pPr>
      <w:bookmarkStart w:id="2" w:name="_Toc348970101"/>
      <w:r>
        <w:rPr>
          <w:rFonts w:hint="eastAsia" w:ascii="仿宋_GB2312" w:hAnsi="仿宋_GB2312" w:eastAsia="仿宋_GB2312" w:cs="仿宋_GB2312"/>
          <w:color w:val="auto"/>
          <w:sz w:val="28"/>
          <w:szCs w:val="28"/>
          <w:highlight w:val="none"/>
        </w:rPr>
        <w:t>2．乙方权利与义务</w:t>
      </w:r>
      <w:bookmarkEnd w:id="2"/>
    </w:p>
    <w:p>
      <w:pPr>
        <w:spacing w:line="440" w:lineRule="exact"/>
        <w:ind w:firstLine="560" w:firstLineChars="200"/>
        <w:rPr>
          <w:rFonts w:ascii="仿宋_GB2312" w:hAnsi="仿宋_GB2312" w:eastAsia="仿宋_GB2312" w:cs="仿宋_GB2312"/>
          <w:color w:val="auto"/>
          <w:sz w:val="28"/>
          <w:szCs w:val="28"/>
          <w:highlight w:val="none"/>
        </w:rPr>
      </w:pPr>
      <w:bookmarkStart w:id="3" w:name="OLE_LINK5"/>
      <w:bookmarkStart w:id="4" w:name="OLE_LINK4"/>
      <w:r>
        <w:rPr>
          <w:rFonts w:hint="eastAsia" w:ascii="仿宋_GB2312" w:hAnsi="仿宋_GB2312" w:eastAsia="仿宋_GB2312" w:cs="仿宋_GB2312"/>
          <w:color w:val="auto"/>
          <w:sz w:val="28"/>
          <w:szCs w:val="28"/>
          <w:highlight w:val="none"/>
        </w:rPr>
        <w:t>（1）乙方保证按照本协议之价格和约定向甲方所有项目（包括随时可能增加的新管理项目及其所在城市）供货与提供服务。</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（2）乙方保证充分满足甲方管理项目的产品供应需要，对甲方所有项目（包括随时可能增加的新管理项目）都按照本协议约定及时、充分提供货物及服务。</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应确保其提供的货物、服务质量符合相关标准或协议约定，并对乙方或服务方所提供的服务人员身份证、服务物料清单、报价中各项技术参数的可靠性、真实性负责，完全服从并配合需方随时进行的质量技术性能抽检。抽检结果若发现与乙方的投标承诺或本协议约定不符，一切责任由乙方承担。</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（4）乙方应严格按照双方约定的要求准时至指定位置进行供货服务，并按双方确认的书面分批供货计划按时供货。</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（5）乙方有义务确保供甲方所在地有适量货物储备，零星供应供货时间应控制在</w:t>
      </w:r>
      <w:r>
        <w:rPr>
          <w:rFonts w:hint="eastAsia" w:ascii="仿宋_GB2312" w:hAnsi="仿宋_GB2312" w:eastAsia="仿宋_GB2312" w:cs="仿宋_GB2312"/>
          <w:color w:val="auto"/>
          <w:sz w:val="28"/>
          <w:szCs w:val="28"/>
          <w:highlight w:val="none"/>
          <w:u w:val="single"/>
        </w:rPr>
        <w:t xml:space="preserve"> 2 </w:t>
      </w:r>
      <w:r>
        <w:rPr>
          <w:rFonts w:hint="eastAsia" w:ascii="仿宋_GB2312" w:hAnsi="仿宋_GB2312" w:eastAsia="仿宋_GB2312" w:cs="仿宋_GB2312"/>
          <w:color w:val="auto"/>
          <w:sz w:val="28"/>
          <w:szCs w:val="28"/>
          <w:highlight w:val="none"/>
        </w:rPr>
        <w:t>日历天以内。</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（6）乙方应确保为甲方所有项目使用的乙方和服务产品提供充足的备用人员及物料，以满足长期售后服务的需要。</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（7）乙方应接受甲方的参观考察，并为考察工作提供便利和配合。</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（8）乙方应及时向甲方推荐乙方的服务人员组织架构、新型服务物料，以方便甲方对服务产品的选用。</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（9）乙方联系方式的变动信息及时通知甲方。应提前取得甲方的书面同意。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（10）乙方有义务对甲方采购的服务建立档案，并保存</w:t>
      </w:r>
      <w:r>
        <w:rPr>
          <w:rFonts w:hint="eastAsia" w:ascii="仿宋_GB2312" w:hAnsi="仿宋_GB2312" w:eastAsia="仿宋_GB2312" w:cs="仿宋_GB2312"/>
          <w:color w:val="auto"/>
          <w:sz w:val="28"/>
          <w:szCs w:val="28"/>
          <w:highlight w:val="none"/>
          <w:u w:val="single"/>
        </w:rPr>
        <w:t xml:space="preserve"> 5 </w:t>
      </w:r>
      <w:r>
        <w:rPr>
          <w:rFonts w:hint="eastAsia" w:ascii="仿宋_GB2312" w:hAnsi="仿宋_GB2312" w:eastAsia="仿宋_GB2312" w:cs="仿宋_GB2312"/>
          <w:color w:val="auto"/>
          <w:sz w:val="28"/>
          <w:szCs w:val="28"/>
          <w:highlight w:val="none"/>
        </w:rPr>
        <w:t>年。</w:t>
      </w:r>
    </w:p>
    <w:bookmarkEnd w:id="3"/>
    <w:bookmarkEnd w:id="4"/>
    <w:p>
      <w:pPr>
        <w:spacing w:line="440" w:lineRule="exact"/>
        <w:rPr>
          <w:rFonts w:ascii="仿宋_GB2312" w:hAnsi="仿宋_GB2312" w:eastAsia="仿宋_GB2312" w:cs="仿宋_GB2312"/>
          <w:b/>
          <w:color w:val="auto"/>
          <w:sz w:val="28"/>
          <w:szCs w:val="28"/>
          <w:highlight w:val="none"/>
        </w:rPr>
      </w:pPr>
      <w:bookmarkStart w:id="5" w:name="_Toc348970102"/>
      <w:r>
        <w:rPr>
          <w:rFonts w:hint="eastAsia" w:ascii="仿宋_GB2312" w:hAnsi="仿宋_GB2312" w:eastAsia="仿宋_GB2312" w:cs="仿宋_GB2312"/>
          <w:b/>
          <w:color w:val="auto"/>
          <w:sz w:val="28"/>
          <w:szCs w:val="28"/>
          <w:highlight w:val="none"/>
        </w:rPr>
        <w:t>七、违约责任</w:t>
      </w:r>
      <w:bookmarkEnd w:id="5"/>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1．有下列任何情形之一的，视为乙方违约，甲方有权单方终止本协议，协议终止后，乙方应向甲方支付人民币叁仟元（￥3000元）的违约金，并赔偿由此给甲方造成的相关损失：</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（1）乙方拒绝按照本协议的约定供货或服务的；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（2）乙方不具有本协议约定的能力和资质，但通过欺骗、伪造等不正当手段使甲方相信其具有相应能力和资质的；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（3）因乙方所提供的货物或服务不符合质量标准导致无法在需方要求时间内通过项目所在地所有相关部门（包括政府部门和甲方、需方）的验收，且造成甲方项目延误的；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（4）因乙方违约导致甲方违约的；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（5）乙方所提供的货物、服务人员标准、服务物料数等被发现与乙方投标承诺不符，经整改后仍不符合的。</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除本协议约定外，任何一方无故单方终止履行本协议的，均属违约，违约方应向守约方支付违约金：人民币叁仟元（￥3000元），并赔偿因提前终止协议而给守约方造成的全部损失（包括守约方所在的需方或供方的损失）。</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八、争议解决方式</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在本协议的履行过程中，双方发生争议且不能协商解决的，任何一方均应向甲方所在地人民法院提起诉讼。</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九、其他</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．双方应保证通讯地址、联系方式、企业法定代表人等工商登记情况及代理人等有关资料和证件真实有效，如有变更，须提前7天书面通知对方。</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．与本协议有关的通知、文件寄出第5天（无论对方签收与否）或对方签收日视为已送达。</w:t>
      </w:r>
    </w:p>
    <w:p>
      <w:pPr>
        <w:spacing w:line="440" w:lineRule="exact"/>
        <w:ind w:firstLine="560" w:firstLineChars="200"/>
        <w:rPr>
          <w:rFonts w:ascii="仿宋_GB2312" w:hAnsi="仿宋_GB2312" w:eastAsia="仿宋_GB2312" w:cs="仿宋_GB2312"/>
          <w:color w:val="auto"/>
          <w:sz w:val="28"/>
          <w:szCs w:val="28"/>
          <w:highlight w:val="none"/>
        </w:rPr>
      </w:pPr>
      <w:bookmarkStart w:id="6" w:name="OLE_LINK2"/>
      <w:bookmarkStart w:id="7" w:name="OLE_LINK1"/>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．本协议一式</w:t>
      </w:r>
      <w:r>
        <w:rPr>
          <w:rFonts w:hint="eastAsia" w:ascii="仿宋_GB2312" w:hAnsi="仿宋_GB2312" w:eastAsia="仿宋_GB2312" w:cs="仿宋_GB2312"/>
          <w:color w:val="auto"/>
          <w:sz w:val="28"/>
          <w:szCs w:val="28"/>
          <w:highlight w:val="none"/>
          <w:u w:val="single"/>
        </w:rPr>
        <w:t xml:space="preserve"> 肆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份，均具同等法律效力。</w:t>
      </w:r>
      <w:bookmarkEnd w:id="6"/>
      <w:bookmarkEnd w:id="7"/>
      <w:r>
        <w:rPr>
          <w:rFonts w:hint="eastAsia" w:ascii="仿宋_GB2312" w:hAnsi="仿宋_GB2312" w:eastAsia="仿宋_GB2312" w:cs="仿宋_GB2312"/>
          <w:color w:val="auto"/>
          <w:sz w:val="28"/>
          <w:szCs w:val="28"/>
          <w:highlight w:val="none"/>
        </w:rPr>
        <w:t>本协议自双方签字盖章之日起发生法律效力。</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．本协议未尽事宜，双方另行协商签订补充协议，补充协议与本协议具有同等法律效力。</w:t>
      </w:r>
    </w:p>
    <w:p>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十、协议附件</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.价格清单</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．《廉政采购协议》</w:t>
      </w:r>
    </w:p>
    <w:p>
      <w:pPr>
        <w:spacing w:line="440" w:lineRule="exact"/>
        <w:ind w:firstLine="560" w:firstLineChars="200"/>
        <w:rPr>
          <w:rFonts w:ascii="仿宋_GB2312" w:hAnsi="仿宋_GB2312" w:eastAsia="仿宋_GB2312" w:cs="仿宋_GB2312"/>
          <w:color w:val="auto"/>
          <w:sz w:val="28"/>
          <w:szCs w:val="28"/>
          <w:highlight w:val="none"/>
        </w:rPr>
      </w:pP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该等附件属于本协议重要组成部分，与本协议具备同等法律效力。若附件内容与本协议内容不一致的，以本协议内容为准。</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（以下无正文）</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                             乙方：                        </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法定代表人：  </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银行账号：</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开户行：</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经办人及联系电话：                 经办人及联系电话：</w:t>
      </w:r>
    </w:p>
    <w:p>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pacing w:line="440" w:lineRule="exact"/>
        <w:ind w:firstLine="840" w:firstLineChars="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                  年     月     日</w:t>
      </w:r>
    </w:p>
    <w:p>
      <w:pPr>
        <w:spacing w:line="440" w:lineRule="exact"/>
        <w:rPr>
          <w:rFonts w:ascii="仿宋_GB2312" w:hAnsi="仿宋_GB2312" w:eastAsia="仿宋_GB2312" w:cs="仿宋_GB2312"/>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spacing w:line="440" w:lineRule="exact"/>
        <w:rPr>
          <w:rFonts w:ascii="仿宋_GB2312" w:hAnsi="仿宋_GB2312" w:eastAsia="仿宋_GB2312" w:cs="仿宋_GB2312"/>
          <w:color w:val="auto"/>
          <w:sz w:val="28"/>
          <w:szCs w:val="28"/>
          <w:highlight w:val="none"/>
        </w:rPr>
      </w:pPr>
      <w:r>
        <w:rPr>
          <w:rFonts w:hint="eastAsia" w:ascii="宋体" w:hAnsi="宋体" w:eastAsia="宋体" w:cs="Times New Roman"/>
          <w:i w:val="0"/>
          <w:iCs w:val="0"/>
          <w:caps w:val="0"/>
          <w:spacing w:val="0"/>
          <w:kern w:val="2"/>
          <w:sz w:val="24"/>
          <w:szCs w:val="24"/>
          <w:highlight w:val="none"/>
          <w:u w:val="none"/>
          <w:lang w:val="en-US" w:eastAsia="zh-CN" w:bidi="ar-SA"/>
        </w:rPr>
        <w:t>附件1：</w:t>
      </w:r>
      <w:r>
        <w:rPr>
          <w:rFonts w:hint="eastAsia" w:ascii="仿宋_GB2312" w:hAnsi="仿宋_GB2312" w:eastAsia="仿宋_GB2312" w:cs="仿宋_GB2312"/>
          <w:color w:val="auto"/>
          <w:sz w:val="28"/>
          <w:szCs w:val="28"/>
          <w:highlight w:val="none"/>
        </w:rPr>
        <w:t>价格清单</w:t>
      </w: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r>
        <w:rPr>
          <w:rFonts w:hint="eastAsia" w:ascii="宋体" w:hAnsi="宋体" w:eastAsia="宋体" w:cs="Times New Roman"/>
          <w:i w:val="0"/>
          <w:iCs w:val="0"/>
          <w:caps w:val="0"/>
          <w:spacing w:val="0"/>
          <w:kern w:val="2"/>
          <w:sz w:val="24"/>
          <w:szCs w:val="24"/>
          <w:highlight w:val="none"/>
          <w:u w:val="none"/>
          <w:lang w:val="en-US" w:eastAsia="zh-CN" w:bidi="ar-SA"/>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i w:val="0"/>
          <w:iCs w:val="0"/>
          <w:caps w:val="0"/>
          <w:spacing w:val="0"/>
          <w:sz w:val="24"/>
          <w:szCs w:val="24"/>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480" w:firstLineChars="200"/>
        <w:rPr>
          <w:rFonts w:hint="eastAsia" w:ascii="宋体" w:hAnsi="宋体" w:eastAsia="宋体" w:cs="Times New Roman"/>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i w:val="0"/>
          <w:iCs w:val="0"/>
          <w:caps w:val="0"/>
          <w:spacing w:val="0"/>
          <w:sz w:val="24"/>
          <w:szCs w:val="24"/>
          <w:highlight w:val="none"/>
          <w:u w:val="none"/>
        </w:rPr>
        <w:t>南宁威凯智慧物业服务有限公司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480" w:firstLineChars="200"/>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pPr>
        <w:spacing w:line="320" w:lineRule="exact"/>
        <w:ind w:firstLine="480" w:firstLineChars="200"/>
        <w:rPr>
          <w:rFonts w:hint="eastAsia" w:ascii="宋体" w:hAnsi="宋体" w:eastAsia="宋体" w:cs="Times New Roman"/>
          <w:i w:val="0"/>
          <w:iCs w:val="0"/>
          <w:caps w:val="0"/>
          <w:spacing w:val="0"/>
          <w:sz w:val="24"/>
          <w:szCs w:val="24"/>
          <w:highlight w:val="none"/>
        </w:rPr>
      </w:pP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宋体" w:hAnsi="宋体" w:cs="Times New Roman"/>
          <w:i w:val="0"/>
          <w:iCs w:val="0"/>
          <w:caps w:val="0"/>
          <w:spacing w:val="0"/>
          <w:sz w:val="24"/>
          <w:szCs w:val="24"/>
          <w:highlight w:val="none"/>
          <w:lang w:eastAsia="zh-CN"/>
        </w:rPr>
        <w:t>法典</w:t>
      </w:r>
      <w:r>
        <w:rPr>
          <w:rFonts w:hint="eastAsia" w:ascii="宋体" w:hAnsi="宋体" w:eastAsia="宋体" w:cs="Times New Roman"/>
          <w:i w:val="0"/>
          <w:iCs w:val="0"/>
          <w:caps w:val="0"/>
          <w:spacing w:val="0"/>
          <w:sz w:val="24"/>
          <w:szCs w:val="24"/>
          <w:highlight w:val="none"/>
        </w:rPr>
        <w:t>》等法律法规和中纪委关于廉政建设方面的规定，甲乙双方经协商签订本协议，以便双方共同遵守。</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乙方对甲方的让利放在明处，不得以回扣、酬金、奖励等名目，将让利转给甲方业务人员。</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1、要求乙方限期纠正；</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2、甲方有权扣留全部履约保证金或暂停合同费用支付；</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4、甲方有权单方解除合同，而无需承担任何违约责任；</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w:t>
      </w:r>
      <w:r>
        <w:rPr>
          <w:rFonts w:hint="eastAsia" w:ascii="宋体" w:hAnsi="宋体" w:cs="Times New Roman"/>
          <w:i w:val="0"/>
          <w:iCs w:val="0"/>
          <w:caps w:val="0"/>
          <w:spacing w:val="0"/>
          <w:sz w:val="24"/>
          <w:szCs w:val="24"/>
          <w:highlight w:val="none"/>
          <w:lang w:eastAsia="zh-CN"/>
        </w:rPr>
        <w:t>免予</w:t>
      </w:r>
      <w:r>
        <w:rPr>
          <w:rFonts w:hint="eastAsia" w:ascii="宋体" w:hAnsi="宋体" w:eastAsia="宋体" w:cs="Times New Roman"/>
          <w:i w:val="0"/>
          <w:iCs w:val="0"/>
          <w:caps w:val="0"/>
          <w:spacing w:val="0"/>
          <w:sz w:val="24"/>
          <w:szCs w:val="24"/>
          <w:highlight w:val="none"/>
        </w:rPr>
        <w:t>追究。</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第五条</w:t>
      </w:r>
      <w:r>
        <w:rPr>
          <w:rFonts w:hint="eastAsia" w:ascii="宋体" w:hAnsi="宋体" w:eastAsia="宋体" w:cs="Times New Roman"/>
          <w:i w:val="0"/>
          <w:iCs w:val="0"/>
          <w:caps w:val="0"/>
          <w:spacing w:val="0"/>
          <w:sz w:val="24"/>
          <w:szCs w:val="24"/>
          <w:highlight w:val="none"/>
        </w:rPr>
        <w:t xml:space="preserve">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乙方如发现甲方工作人员或其他甲方合作单位有违反本协议者，应向甲方举报。甲方应依法保护举报人员，并给举报有功人员予以奖励。投诉举报途径</w:t>
      </w:r>
      <w:r>
        <w:rPr>
          <w:rFonts w:hint="eastAsia" w:ascii="宋体" w:hAnsi="宋体" w:cs="Times New Roman"/>
          <w:i w:val="0"/>
          <w:iCs w:val="0"/>
          <w:caps w:val="0"/>
          <w:spacing w:val="0"/>
          <w:sz w:val="24"/>
          <w:szCs w:val="24"/>
          <w:highlight w:val="none"/>
          <w:lang w:eastAsia="zh-CN"/>
        </w:rPr>
        <w:t>如下，联系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0771-5825095</w:t>
      </w:r>
      <w:r>
        <w:rPr>
          <w:rFonts w:hint="eastAsia" w:ascii="宋体" w:hAnsi="宋体" w:cs="Times New Roman"/>
          <w:i w:val="0"/>
          <w:iCs w:val="0"/>
          <w:caps w:val="0"/>
          <w:spacing w:val="0"/>
          <w:sz w:val="24"/>
          <w:szCs w:val="24"/>
          <w:highlight w:val="none"/>
          <w:lang w:eastAsia="zh-CN"/>
        </w:rPr>
        <w:t>；电子</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cs="Times New Roman"/>
          <w:i w:val="0"/>
          <w:iCs w:val="0"/>
          <w:caps w:val="0"/>
          <w:spacing w:val="0"/>
          <w:sz w:val="24"/>
          <w:szCs w:val="24"/>
          <w:highlight w:val="none"/>
          <w:u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cs="Times New Roman"/>
          <w:i w:val="0"/>
          <w:iCs w:val="0"/>
          <w:caps w:val="0"/>
          <w:spacing w:val="0"/>
          <w:sz w:val="24"/>
          <w:szCs w:val="24"/>
          <w:highlight w:val="none"/>
          <w:lang w:eastAsia="zh-CN"/>
        </w:rPr>
        <w:t>。</w:t>
      </w:r>
    </w:p>
    <w:p>
      <w:pPr>
        <w:pStyle w:val="2"/>
        <w:numPr>
          <w:ilvl w:val="-1"/>
          <w:numId w:val="0"/>
        </w:numPr>
        <w:ind w:firstLine="482" w:firstLineChars="200"/>
        <w:rPr>
          <w:rFonts w:hint="eastAsia" w:ascii="宋体" w:hAnsi="宋体" w:eastAsia="宋体" w:cs="Times New Roman"/>
          <w:i w:val="0"/>
          <w:iCs w:val="0"/>
          <w:caps w:val="0"/>
          <w:spacing w:val="0"/>
          <w:sz w:val="24"/>
          <w:szCs w:val="24"/>
          <w:highlight w:val="none"/>
        </w:rPr>
      </w:pPr>
      <w:r>
        <w:rPr>
          <w:rFonts w:hint="eastAsia" w:ascii="宋体" w:hAnsi="宋体" w:cs="Times New Roman"/>
          <w:b/>
          <w:bCs/>
          <w:i w:val="0"/>
          <w:iCs w:val="0"/>
          <w:caps w:val="0"/>
          <w:spacing w:val="0"/>
          <w:sz w:val="24"/>
          <w:szCs w:val="24"/>
          <w:highlight w:val="none"/>
          <w:lang w:eastAsia="zh-CN"/>
        </w:rPr>
        <w:t>第六条</w:t>
      </w:r>
      <w:r>
        <w:rPr>
          <w:rFonts w:hint="eastAsia" w:ascii="宋体" w:hAnsi="宋体" w:cs="Times New Roman"/>
          <w:i w:val="0"/>
          <w:iCs w:val="0"/>
          <w:caps w:val="0"/>
          <w:spacing w:val="0"/>
          <w:sz w:val="24"/>
          <w:szCs w:val="24"/>
          <w:highlight w:val="none"/>
          <w:lang w:val="en-US" w:eastAsia="zh-CN"/>
        </w:rPr>
        <w:t xml:space="preserve"> </w:t>
      </w:r>
      <w:r>
        <w:rPr>
          <w:rFonts w:hint="eastAsia" w:ascii="宋体" w:hAnsi="宋体" w:eastAsia="宋体" w:cs="Times New Roman"/>
          <w:i w:val="0"/>
          <w:iCs w:val="0"/>
          <w:caps w:val="0"/>
          <w:spacing w:val="0"/>
          <w:sz w:val="24"/>
          <w:szCs w:val="24"/>
          <w:highlight w:val="none"/>
        </w:rPr>
        <w:t>本协议一式</w:t>
      </w:r>
      <w:r>
        <w:rPr>
          <w:rFonts w:hint="eastAsia" w:ascii="宋体" w:hAnsi="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份，双方各执</w:t>
      </w:r>
      <w:r>
        <w:rPr>
          <w:rFonts w:hint="eastAsia" w:ascii="宋体" w:hAnsi="宋体" w:cs="Times New Roman"/>
          <w:i w:val="0"/>
          <w:iCs w:val="0"/>
          <w:caps w:val="0"/>
          <w:spacing w:val="0"/>
          <w:sz w:val="24"/>
          <w:szCs w:val="24"/>
          <w:highlight w:val="none"/>
          <w:lang w:val="en-US" w:eastAsia="zh-CN"/>
        </w:rPr>
        <w:t>二</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p>
      <w:pPr>
        <w:rPr>
          <w:color w:val="auto"/>
          <w:highlight w:val="none"/>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wZDBkNTMwMWRiZjUyNjJhZWJkOGQyZGE2OGQyOGEifQ=="/>
  </w:docVars>
  <w:rsids>
    <w:rsidRoot w:val="00BF7723"/>
    <w:rsid w:val="00074C8C"/>
    <w:rsid w:val="00093028"/>
    <w:rsid w:val="000D33BB"/>
    <w:rsid w:val="00126DB2"/>
    <w:rsid w:val="00192898"/>
    <w:rsid w:val="001E1CED"/>
    <w:rsid w:val="00275C11"/>
    <w:rsid w:val="002F2B10"/>
    <w:rsid w:val="003001B9"/>
    <w:rsid w:val="00321312"/>
    <w:rsid w:val="0036069C"/>
    <w:rsid w:val="0043216B"/>
    <w:rsid w:val="00463D5C"/>
    <w:rsid w:val="005236D1"/>
    <w:rsid w:val="005511FC"/>
    <w:rsid w:val="005918F0"/>
    <w:rsid w:val="005D50F1"/>
    <w:rsid w:val="005E0A87"/>
    <w:rsid w:val="006E7A33"/>
    <w:rsid w:val="0078204E"/>
    <w:rsid w:val="007870F8"/>
    <w:rsid w:val="007E1A44"/>
    <w:rsid w:val="00855530"/>
    <w:rsid w:val="00883007"/>
    <w:rsid w:val="00897B0D"/>
    <w:rsid w:val="0091032D"/>
    <w:rsid w:val="00912B33"/>
    <w:rsid w:val="009A60C6"/>
    <w:rsid w:val="009E3BD2"/>
    <w:rsid w:val="00A25569"/>
    <w:rsid w:val="00A93E78"/>
    <w:rsid w:val="00AB6194"/>
    <w:rsid w:val="00AC3428"/>
    <w:rsid w:val="00AC51C9"/>
    <w:rsid w:val="00AD017A"/>
    <w:rsid w:val="00AD31B6"/>
    <w:rsid w:val="00B427A1"/>
    <w:rsid w:val="00B774F9"/>
    <w:rsid w:val="00BD0392"/>
    <w:rsid w:val="00BD7A2D"/>
    <w:rsid w:val="00BF7723"/>
    <w:rsid w:val="00C02B7B"/>
    <w:rsid w:val="00C22B4C"/>
    <w:rsid w:val="00C65385"/>
    <w:rsid w:val="00C969D2"/>
    <w:rsid w:val="00CC0706"/>
    <w:rsid w:val="00CD43BE"/>
    <w:rsid w:val="00CF727C"/>
    <w:rsid w:val="00D20CD7"/>
    <w:rsid w:val="00D4662B"/>
    <w:rsid w:val="00D537E8"/>
    <w:rsid w:val="00D64B55"/>
    <w:rsid w:val="00DB242F"/>
    <w:rsid w:val="00DB439A"/>
    <w:rsid w:val="00DC0887"/>
    <w:rsid w:val="00DD37CC"/>
    <w:rsid w:val="00DE5DFB"/>
    <w:rsid w:val="00E236BC"/>
    <w:rsid w:val="00E468DD"/>
    <w:rsid w:val="00E722E1"/>
    <w:rsid w:val="00E821CB"/>
    <w:rsid w:val="00EA2C99"/>
    <w:rsid w:val="00EB12CE"/>
    <w:rsid w:val="00F704B1"/>
    <w:rsid w:val="03BC56CD"/>
    <w:rsid w:val="06744329"/>
    <w:rsid w:val="0832086D"/>
    <w:rsid w:val="08796DB7"/>
    <w:rsid w:val="0A5212C2"/>
    <w:rsid w:val="0CBB4156"/>
    <w:rsid w:val="10E06D10"/>
    <w:rsid w:val="17D57F62"/>
    <w:rsid w:val="1CDA27C5"/>
    <w:rsid w:val="235F70C1"/>
    <w:rsid w:val="23DF2E81"/>
    <w:rsid w:val="327877A7"/>
    <w:rsid w:val="32940CEB"/>
    <w:rsid w:val="32EE7AA0"/>
    <w:rsid w:val="36AA5492"/>
    <w:rsid w:val="39CE0ADC"/>
    <w:rsid w:val="3C233626"/>
    <w:rsid w:val="3F626E14"/>
    <w:rsid w:val="433C7EDC"/>
    <w:rsid w:val="451A0F30"/>
    <w:rsid w:val="498C1A91"/>
    <w:rsid w:val="5391173A"/>
    <w:rsid w:val="54890597"/>
    <w:rsid w:val="56816C01"/>
    <w:rsid w:val="59E7033A"/>
    <w:rsid w:val="5A271B05"/>
    <w:rsid w:val="5F457DC0"/>
    <w:rsid w:val="5FD43EC2"/>
    <w:rsid w:val="62391C7A"/>
    <w:rsid w:val="63D74AAF"/>
    <w:rsid w:val="64C61FAA"/>
    <w:rsid w:val="667C5E6A"/>
    <w:rsid w:val="67841EC4"/>
    <w:rsid w:val="6B0F12CF"/>
    <w:rsid w:val="722C593A"/>
    <w:rsid w:val="73E97D05"/>
    <w:rsid w:val="74CB3CB7"/>
    <w:rsid w:val="7D772603"/>
    <w:rsid w:val="7E3A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rPr>
      <w:rFonts w:ascii="Calibri" w:hAnsi="Calibri"/>
    </w:rPr>
  </w:style>
  <w:style w:type="paragraph" w:styleId="3">
    <w:name w:val="annotation text"/>
    <w:basedOn w:val="1"/>
    <w:semiHidden/>
    <w:unhideWhenUsed/>
    <w:qFormat/>
    <w:uiPriority w:val="99"/>
    <w:pPr>
      <w:jc w:val="left"/>
    </w:pPr>
  </w:style>
  <w:style w:type="paragraph" w:styleId="4">
    <w:name w:val="Body Text Indent"/>
    <w:basedOn w:val="1"/>
    <w:semiHidden/>
    <w:unhideWhenUsed/>
    <w:qFormat/>
    <w:uiPriority w:val="99"/>
    <w:pPr>
      <w:spacing w:after="120" w:afterLines="0" w:afterAutospacing="0"/>
      <w:ind w:left="420" w:leftChars="20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8">
    <w:name w:val="Body Text First Indent 2"/>
    <w:basedOn w:val="4"/>
    <w:semiHidden/>
    <w:unhideWhenUsed/>
    <w:qFormat/>
    <w:uiPriority w:val="99"/>
    <w:pPr>
      <w:ind w:firstLine="420" w:firstLineChars="200"/>
    </w:p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4028</Words>
  <Characters>4095</Characters>
  <Lines>35</Lines>
  <Paragraphs>10</Paragraphs>
  <TotalTime>1</TotalTime>
  <ScaleCrop>false</ScaleCrop>
  <LinksUpToDate>false</LinksUpToDate>
  <CharactersWithSpaces>4752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2018-01-29T02:19:00Z</dcterms:created>
  <dc:creator>B11AD04.陈武</dc:creator>
  <cp:lastModifiedBy>WPS_1556161068</cp:lastModifiedBy>
  <dcterms:modified xsi:type="dcterms:W3CDTF">2024-05-21T10:00:28Z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82872D6E204447088E5972B95F9F31E1</vt:lpwstr>
  </property>
</Properties>
</file>