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3" w:firstLineChars="200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采购需求清单</w:t>
      </w:r>
    </w:p>
    <w:p>
      <w:pPr>
        <w:spacing w:line="360" w:lineRule="auto"/>
        <w:ind w:left="26" w:right="86" w:firstLine="422"/>
        <w:rPr>
          <w:rFonts w:hint="eastAsia" w:ascii="黑体" w:hAnsi="黑体" w:eastAsia="黑体" w:cs="黑体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一、系统平台的范围及概述：</w:t>
      </w:r>
    </w:p>
    <w:p>
      <w:pPr>
        <w:pStyle w:val="10"/>
        <w:spacing w:line="360" w:lineRule="auto"/>
        <w:ind w:firstLine="480" w:firstLineChars="200"/>
        <w:rPr>
          <w:rFonts w:hAnsi="宋体"/>
          <w:color w:val="000000"/>
          <w:sz w:val="24"/>
          <w:szCs w:val="24"/>
        </w:rPr>
      </w:pPr>
      <w:r>
        <w:rPr>
          <w:rFonts w:hint="eastAsia" w:hAnsi="宋体"/>
          <w:color w:val="000000"/>
          <w:sz w:val="24"/>
          <w:szCs w:val="24"/>
        </w:rPr>
        <w:t>1、</w:t>
      </w:r>
      <w:r>
        <w:rPr>
          <w:rFonts w:hint="eastAsia" w:hAnsi="宋体" w:cs="宋体"/>
          <w:color w:val="000000"/>
          <w:sz w:val="24"/>
          <w:szCs w:val="24"/>
        </w:rPr>
        <w:t>为更好地</w:t>
      </w:r>
      <w:r>
        <w:rPr>
          <w:rFonts w:hint="eastAsia"/>
          <w:sz w:val="24"/>
          <w:szCs w:val="24"/>
        </w:rPr>
        <w:t>实现管理和服务深度融合</w:t>
      </w:r>
      <w:r>
        <w:rPr>
          <w:rFonts w:hint="eastAsia" w:hAnsi="宋体" w:cs="宋体"/>
          <w:color w:val="000000"/>
          <w:sz w:val="24"/>
          <w:szCs w:val="24"/>
        </w:rPr>
        <w:t>，到达更好的</w:t>
      </w:r>
      <w:r>
        <w:rPr>
          <w:rFonts w:hint="eastAsia"/>
          <w:sz w:val="24"/>
          <w:szCs w:val="24"/>
        </w:rPr>
        <w:t>数字化辅助与决策，</w:t>
      </w:r>
      <w:r>
        <w:rPr>
          <w:rFonts w:hint="eastAsia" w:hAnsi="宋体"/>
          <w:color w:val="000000"/>
          <w:sz w:val="24"/>
          <w:szCs w:val="24"/>
        </w:rPr>
        <w:t>对</w:t>
      </w:r>
      <w:r>
        <w:rPr>
          <w:rFonts w:hint="eastAsia" w:hAnsi="宋体" w:cs="宋体"/>
          <w:color w:val="000000"/>
          <w:sz w:val="24"/>
          <w:szCs w:val="24"/>
        </w:rPr>
        <w:t>威凯智慧物业服务</w:t>
      </w:r>
      <w:r>
        <w:rPr>
          <w:rFonts w:hint="eastAsia"/>
          <w:sz w:val="24"/>
          <w:szCs w:val="24"/>
        </w:rPr>
        <w:t>管理过程中的收费，报事，缴费，监控实时视频等数据进行展示</w:t>
      </w:r>
      <w:r>
        <w:rPr>
          <w:rFonts w:hint="eastAsia" w:hAnsi="宋体" w:cs="宋体"/>
          <w:color w:val="000000"/>
          <w:sz w:val="24"/>
          <w:szCs w:val="24"/>
        </w:rPr>
        <w:t>，</w:t>
      </w:r>
      <w:r>
        <w:rPr>
          <w:rFonts w:hint="eastAsia" w:hAnsi="宋体"/>
          <w:color w:val="000000"/>
          <w:sz w:val="24"/>
          <w:szCs w:val="24"/>
        </w:rPr>
        <w:t>本次进行综合物业管理模块和前端智能设备的采购建设，以满足“威凯智慧物业服务综合展示平台”的要求，建设内容</w:t>
      </w:r>
      <w:r>
        <w:rPr>
          <w:rFonts w:hint="eastAsia" w:hAnsi="宋体"/>
          <w:color w:val="000000"/>
          <w:kern w:val="48"/>
          <w:sz w:val="24"/>
          <w:szCs w:val="24"/>
        </w:rPr>
        <w:t>包括但不限于综合物业管理模块、视频安防监控设备等内容，</w:t>
      </w:r>
      <w:r>
        <w:rPr>
          <w:rFonts w:hint="eastAsia"/>
          <w:sz w:val="24"/>
          <w:szCs w:val="24"/>
        </w:rPr>
        <w:t>打造运营指挥展示中心。</w:t>
      </w:r>
      <w:r>
        <w:rPr>
          <w:rFonts w:hint="eastAsia" w:hAnsi="宋体"/>
          <w:color w:val="000000"/>
          <w:kern w:val="48"/>
          <w:sz w:val="24"/>
          <w:szCs w:val="24"/>
        </w:rPr>
        <w:t>具体详见</w:t>
      </w:r>
      <w:r>
        <w:rPr>
          <w:rFonts w:hint="eastAsia" w:hAnsi="宋体"/>
          <w:color w:val="000000"/>
          <w:kern w:val="48"/>
          <w:sz w:val="24"/>
          <w:szCs w:val="24"/>
          <w:highlight w:val="yellow"/>
        </w:rPr>
        <w:t>软件平台功能清单、智能设备工程量清单</w:t>
      </w:r>
      <w:r>
        <w:rPr>
          <w:rFonts w:hint="eastAsia" w:hAnsi="宋体"/>
          <w:color w:val="000000"/>
          <w:kern w:val="48"/>
          <w:sz w:val="24"/>
          <w:szCs w:val="24"/>
        </w:rPr>
        <w:t>等。</w:t>
      </w:r>
    </w:p>
    <w:p>
      <w:pPr>
        <w:pStyle w:val="10"/>
        <w:spacing w:line="360" w:lineRule="auto"/>
        <w:ind w:firstLine="480" w:firstLineChars="200"/>
        <w:rPr>
          <w:rFonts w:hint="default" w:hAnsi="宋体" w:eastAsia="宋体" w:cs="宋体"/>
          <w:sz w:val="24"/>
          <w:szCs w:val="24"/>
          <w:lang w:val="en-US" w:eastAsia="zh-CN"/>
        </w:rPr>
      </w:pPr>
      <w:r>
        <w:rPr>
          <w:rFonts w:hint="eastAsia" w:hAnsi="宋体" w:cs="宋体"/>
          <w:sz w:val="24"/>
          <w:szCs w:val="24"/>
        </w:rPr>
        <w:t>2、建设工期：</w:t>
      </w:r>
      <w:r>
        <w:rPr>
          <w:rFonts w:hint="eastAsia" w:hAnsi="宋体" w:cs="宋体"/>
          <w:sz w:val="24"/>
          <w:szCs w:val="24"/>
          <w:lang w:val="en-US" w:eastAsia="zh-CN"/>
        </w:rPr>
        <w:t>合同签订日起三个月内</w:t>
      </w:r>
    </w:p>
    <w:p>
      <w:pPr>
        <w:pStyle w:val="10"/>
        <w:spacing w:line="360" w:lineRule="auto"/>
        <w:ind w:firstLine="480" w:firstLineChars="200"/>
        <w:rPr>
          <w:rFonts w:hint="default" w:hAnsi="宋体" w:eastAsia="宋体" w:cs="宋体"/>
          <w:sz w:val="24"/>
          <w:szCs w:val="24"/>
          <w:lang w:val="en-US" w:eastAsia="zh-CN"/>
        </w:rPr>
      </w:pPr>
      <w:r>
        <w:rPr>
          <w:rFonts w:hint="eastAsia" w:hAnsi="宋体" w:cs="宋体"/>
          <w:sz w:val="24"/>
          <w:szCs w:val="24"/>
        </w:rPr>
        <w:t>3、预算金额：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rFonts w:hint="eastAsia" w:hAnsi="宋体"/>
          <w:color w:val="000000"/>
          <w:sz w:val="24"/>
          <w:szCs w:val="24"/>
        </w:rPr>
        <w:t>威凯智慧物业服务综合展示平台模块的整体</w:t>
      </w:r>
      <w:r>
        <w:rPr>
          <w:rFonts w:hint="eastAsia"/>
          <w:sz w:val="24"/>
          <w:szCs w:val="24"/>
        </w:rPr>
        <w:t>要求：接入报事系统，收费管理，物业缴费模块综合数据，数据内容要求展示。</w:t>
      </w:r>
    </w:p>
    <w:p>
      <w:pPr>
        <w:numPr>
          <w:ilvl w:val="0"/>
          <w:numId w:val="2"/>
        </w:numPr>
        <w:spacing w:line="360" w:lineRule="auto"/>
        <w:ind w:firstLine="440"/>
        <w:rPr>
          <w:sz w:val="24"/>
          <w:szCs w:val="24"/>
        </w:rPr>
      </w:pPr>
      <w:r>
        <w:rPr>
          <w:rFonts w:hint="eastAsia"/>
          <w:sz w:val="24"/>
          <w:szCs w:val="24"/>
        </w:rPr>
        <w:t>信息综合：对接展示物业在管项目总数，服务业主总数，员工总数等</w:t>
      </w:r>
    </w:p>
    <w:p>
      <w:pPr>
        <w:pStyle w:val="8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393690" cy="1762125"/>
            <wp:effectExtent l="0" t="0" r="16510" b="952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rcRect l="15723" r="17613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40"/>
        <w:rPr>
          <w:sz w:val="24"/>
          <w:szCs w:val="24"/>
        </w:rPr>
      </w:pPr>
      <w:r>
        <w:rPr>
          <w:rFonts w:hint="eastAsia"/>
          <w:sz w:val="24"/>
          <w:szCs w:val="24"/>
        </w:rPr>
        <w:t>报事汇总：对接报事系统展示报事总数，今日报事，完结率，未完结报事，  项目报事完结率排行，报事总数</w:t>
      </w:r>
    </w:p>
    <w:p>
      <w:pPr>
        <w:pStyle w:val="8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431790" cy="1515110"/>
            <wp:effectExtent l="0" t="0" r="165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6467" t="349" r="1655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360" w:lineRule="auto"/>
        <w:ind w:left="0" w:firstLine="440"/>
        <w:rPr>
          <w:rFonts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/>
          <w:sz w:val="24"/>
          <w:szCs w:val="24"/>
        </w:rPr>
        <w:t>物业缴费：对接物业缴费系统展示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月度欠费/预存情况，业务达成率，物业公摊费，收费趋势，主营应收费用类型占比</w:t>
      </w:r>
    </w:p>
    <w:p>
      <w:pPr>
        <w:widowControl w:val="0"/>
        <w:adjustRightInd w:val="0"/>
        <w:spacing w:before="120" w:line="360" w:lineRule="auto"/>
        <w:ind w:left="0" w:firstLine="0"/>
        <w:jc w:val="both"/>
        <w:textAlignment w:val="baseline"/>
        <w:outlineLvl w:val="3"/>
        <w:rPr>
          <w:rFonts w:ascii="Arial" w:eastAsia="黑体" w:hAnsiTheme="minorHAnsi" w:cstheme="minorBidi"/>
          <w:kern w:val="0"/>
          <w:sz w:val="24"/>
          <w:szCs w:val="24"/>
          <w:lang w:val="en-US" w:eastAsia="zh-CN" w:bidi="ar-SA"/>
        </w:rPr>
      </w:pPr>
      <w:r>
        <w:rPr>
          <w:rFonts w:ascii="Arial" w:eastAsia="黑体" w:hAnsiTheme="minorHAnsi" w:cstheme="minorBidi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562600" cy="1564640"/>
            <wp:effectExtent l="0" t="0" r="0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adjustRightInd w:val="0"/>
        <w:spacing w:before="120" w:line="360" w:lineRule="auto"/>
        <w:ind w:left="0" w:firstLine="400"/>
        <w:jc w:val="both"/>
        <w:textAlignment w:val="baseline"/>
        <w:outlineLvl w:val="3"/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-SA"/>
        </w:rPr>
        <w:t>对接云监控系统，支持监控画面查看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49925" cy="1642110"/>
            <wp:effectExtent l="0" t="0" r="3175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项目管理展示当前服务业主总数，员工总数，楼栋数，设备总数，基本信息等等，及项目综合报事，物业缴费情况</w:t>
      </w:r>
    </w:p>
    <w:p>
      <w:pPr>
        <w:pStyle w:val="8"/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23890" cy="1730375"/>
            <wp:effectExtent l="0" t="0" r="10160" b="3175"/>
            <wp:docPr id="9" name="图片 8" descr="物业综合态势备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物业综合态势备份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left="26" w:right="86" w:firstLine="420"/>
        <w:rPr>
          <w:rFonts w:hint="eastAsia" w:ascii="黑体" w:hAnsi="黑体" w:eastAsia="黑体" w:cs="黑体"/>
          <w:b w:val="0"/>
          <w:bCs w:val="0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二、</w:t>
      </w:r>
      <w:r>
        <w:rPr>
          <w:rFonts w:hint="eastAsia" w:ascii="黑体" w:hAnsi="黑体" w:eastAsia="黑体" w:cs="黑体"/>
          <w:b w:val="0"/>
          <w:bCs w:val="0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技术要求：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rFonts w:hint="eastAsia" w:asciiTheme="minorHAnsi" w:hAnsiTheme="minorHAnsi" w:eastAsiaTheme="minorEastAsia" w:cstheme="minorBidi"/>
          <w:sz w:val="24"/>
          <w:szCs w:val="24"/>
          <w:lang w:val="en-US" w:eastAsia="zh-CN"/>
        </w:rPr>
        <w:t>供应商需获得软件企业能力成熟度评估(CMMI)三级以上认证</w:t>
      </w:r>
      <w:r>
        <w:rPr>
          <w:rFonts w:hint="eastAsia" w:asciiTheme="minorHAnsi" w:hAnsiTheme="minorHAnsi" w:eastAsiaTheme="minorEastAsia" w:cstheme="minorBidi"/>
          <w:sz w:val="24"/>
          <w:szCs w:val="24"/>
        </w:rPr>
        <w:t>并提供</w:t>
      </w:r>
      <w:r>
        <w:rPr>
          <w:rFonts w:hint="eastAsia" w:asciiTheme="minorHAnsi" w:hAnsiTheme="minorHAnsi" w:eastAsiaTheme="minorEastAsia" w:cstheme="minorBidi"/>
          <w:sz w:val="24"/>
          <w:szCs w:val="24"/>
          <w:lang w:val="en-US" w:eastAsia="zh-CN"/>
        </w:rPr>
        <w:t>证书扫描件</w:t>
      </w:r>
      <w:r>
        <w:rPr>
          <w:rFonts w:hint="eastAsia" w:asciiTheme="minorHAnsi" w:hAnsiTheme="minorHAnsi" w:eastAsiaTheme="minorEastAsia" w:cstheme="minorBidi"/>
          <w:sz w:val="24"/>
          <w:szCs w:val="24"/>
        </w:rPr>
        <w:t>并加盖公章，产品质量需按现行国家标准和技术规范，且满足国家标准和行业标准规范的有关接口及服务，相应的硬件产品必须是原厂原装，且需国内先进品牌，产品参数性能须满足实质性要求，并产品实行“三包”，即包退、包换、包修，因产品质量问题发生的相关费用由中标人承担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2、系统架构要求：</w:t>
      </w:r>
      <w:r>
        <w:rPr>
          <w:sz w:val="24"/>
          <w:szCs w:val="24"/>
        </w:rPr>
        <w:t>系统架构分为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层</w:t>
      </w:r>
      <w:r>
        <w:rPr>
          <w:rFonts w:hint="eastAsia"/>
          <w:sz w:val="24"/>
          <w:szCs w:val="24"/>
        </w:rPr>
        <w:t>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物业决策大脑展示端，</w:t>
      </w:r>
      <w:r>
        <w:rPr>
          <w:sz w:val="24"/>
          <w:szCs w:val="24"/>
        </w:rPr>
        <w:t>实现(</w:t>
      </w:r>
      <w:r>
        <w:rPr>
          <w:rFonts w:hint="eastAsia"/>
          <w:sz w:val="24"/>
          <w:szCs w:val="24"/>
        </w:rPr>
        <w:t>报事/缴费/监控）</w:t>
      </w:r>
      <w:r>
        <w:rPr>
          <w:sz w:val="24"/>
          <w:szCs w:val="24"/>
        </w:rPr>
        <w:t>的功能交互、业务联动、大数据分析；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.数据集成</w:t>
      </w:r>
      <w:r>
        <w:rPr>
          <w:rFonts w:hint="eastAsia"/>
          <w:sz w:val="24"/>
          <w:szCs w:val="24"/>
        </w:rPr>
        <w:t>后台</w:t>
      </w:r>
      <w:r>
        <w:rPr>
          <w:sz w:val="24"/>
          <w:szCs w:val="24"/>
        </w:rPr>
        <w:t>， 实现物联感知、</w:t>
      </w:r>
      <w:r>
        <w:rPr>
          <w:rFonts w:hint="eastAsia"/>
          <w:sz w:val="24"/>
          <w:szCs w:val="24"/>
        </w:rPr>
        <w:t>物业系统</w:t>
      </w:r>
      <w:r>
        <w:rPr>
          <w:sz w:val="24"/>
          <w:szCs w:val="24"/>
        </w:rPr>
        <w:t>数据等集 成抽取、清晰、转换、融合、管理， 为操作系统层提供可使用、可调度的数据资源；</w:t>
      </w:r>
      <w:r>
        <w:rPr>
          <w:rFonts w:hint="eastAsia"/>
          <w:sz w:val="24"/>
          <w:szCs w:val="24"/>
        </w:rPr>
        <w:t>同时支持部分无数据源的数据做部分内容填报。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3、</w:t>
      </w:r>
      <w:r>
        <w:rPr>
          <w:sz w:val="24"/>
          <w:szCs w:val="24"/>
        </w:rPr>
        <w:t>平台设计原则</w:t>
      </w:r>
      <w:r>
        <w:rPr>
          <w:rFonts w:hint="eastAsia"/>
          <w:sz w:val="24"/>
          <w:szCs w:val="24"/>
        </w:rPr>
        <w:t>要求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1)  先进性原则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系统的架构和技术均符合高新技术的发展趋势， 在满足功能的前提下， 能够 在今后一定时间内保持系统的先进性。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2)  实用性原则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以满足实际应用需求为原则， 坚持先进， 兼容传统， 实现系统集成、系统互 联、资源整合与信息共享。把实用性放在第一位， 边建设边应用， 把系统建设成 “实用工程”。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)  可靠性原则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在设计时采用了先进成熟的平台技术， 在安全体系建设和系统切换等各方面 考虑周到、切实可行， 建成的系统将安全可靠， 稳定性强， 把各种可能的风险降 至最低。</w:t>
      </w:r>
    </w:p>
    <w:p>
      <w:pPr>
        <w:spacing w:line="400" w:lineRule="exact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t xml:space="preserve"> 4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易操作性原则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强调以人为本的设计思想， 适应多功能、外向型的需求， 对于来自内外的各 种信息进行收集、处理、存储、传输、检索、查询， 为实际使用者和管理者提供有效的信息服务和充分的决策依据。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sz w:val="24"/>
          <w:szCs w:val="24"/>
        </w:rPr>
        <w:t>系统测试</w:t>
      </w:r>
      <w:r>
        <w:rPr>
          <w:rFonts w:hint="eastAsia"/>
          <w:sz w:val="24"/>
          <w:szCs w:val="24"/>
        </w:rPr>
        <w:t>要求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 xml:space="preserve"> 测试过程严格按照软件质量体系《软件测试控制程序》执行。测 试方法除采用传统的测试方式外， 还采用了先进的测试工具辅助测试。测试分为 两个阶段： 单元测试阶段和综合测试阶段。单元测试阶段在编码阶段完成， 所有 的测试文档由测试人员提供。综合测试由开发人员和测试人员交叉担任， 包括集 成测试和系统测试，同时所有的测试文档应该由专业测试人员完成。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>
        <w:rPr>
          <w:sz w:val="24"/>
          <w:szCs w:val="24"/>
        </w:rPr>
        <w:t>系统部署</w:t>
      </w:r>
      <w:r>
        <w:rPr>
          <w:rFonts w:hint="eastAsia"/>
          <w:sz w:val="24"/>
          <w:szCs w:val="24"/>
        </w:rPr>
        <w:t>要求</w:t>
      </w:r>
    </w:p>
    <w:p>
      <w:pPr>
        <w:spacing w:line="400" w:lineRule="exact"/>
        <w:ind w:firstLine="480" w:firstLineChars="200"/>
        <w:rPr>
          <w:color w:val="FF0000"/>
          <w:sz w:val="24"/>
          <w:szCs w:val="24"/>
        </w:rPr>
      </w:pPr>
      <w:r>
        <w:rPr>
          <w:sz w:val="24"/>
          <w:szCs w:val="24"/>
        </w:rPr>
        <w:t>系统测试完成后，按照用户方要求，</w:t>
      </w:r>
      <w:r>
        <w:rPr>
          <w:color w:val="FF0000"/>
          <w:sz w:val="24"/>
          <w:szCs w:val="24"/>
        </w:rPr>
        <w:t>将系统部署到云资源上。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6、</w:t>
      </w:r>
      <w:r>
        <w:rPr>
          <w:sz w:val="24"/>
          <w:szCs w:val="24"/>
        </w:rPr>
        <w:t xml:space="preserve">系统配置和联调： 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系统部署完之后， 进行系统初始化基础数据录入、接口配置，接入现场真实数据进行联调联测、功能验证。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7、</w:t>
      </w:r>
      <w:r>
        <w:rPr>
          <w:sz w:val="24"/>
          <w:szCs w:val="24"/>
        </w:rPr>
        <w:t>上线试运行和培训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  <w:sectPr>
          <w:footerReference r:id="rId3" w:type="default"/>
          <w:pgSz w:w="11907" w:h="16839"/>
          <w:pgMar w:top="1428" w:right="1531" w:bottom="1076" w:left="1531" w:header="0" w:footer="916" w:gutter="0"/>
          <w:pgNumType w:fmt="decimal"/>
          <w:cols w:space="720" w:num="1"/>
        </w:sectPr>
      </w:pPr>
      <w:r>
        <w:rPr>
          <w:sz w:val="24"/>
          <w:szCs w:val="24"/>
        </w:rPr>
        <w:t xml:space="preserve"> 所有功能都验证之后， 进行系统上线试运行， 制定培训计划， 输出培训材料和用户手册。试运行阶段， 用户提出问题， 要记录问题并及时解决， 确保系统稳定运行。</w:t>
      </w:r>
    </w:p>
    <w:p>
      <w:pPr>
        <w:spacing w:line="400" w:lineRule="exact"/>
        <w:rPr>
          <w:rFonts w:hint="eastAsia"/>
          <w:sz w:val="24"/>
          <w:szCs w:val="24"/>
        </w:rPr>
      </w:pPr>
    </w:p>
    <w:p>
      <w:pPr>
        <w:spacing w:line="400" w:lineRule="exact"/>
        <w:ind w:left="26" w:right="86" w:firstLine="420"/>
        <w:rPr>
          <w:rFonts w:hint="eastAsia" w:ascii="黑体" w:hAnsi="黑体" w:eastAsia="黑体" w:cs="黑体"/>
          <w:b w:val="0"/>
          <w:bCs w:val="0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、</w:t>
      </w:r>
      <w:r>
        <w:rPr>
          <w:rFonts w:hint="eastAsia" w:ascii="黑体" w:hAnsi="黑体" w:eastAsia="黑体" w:cs="黑体"/>
          <w:b w:val="0"/>
          <w:bCs w:val="0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商务要求：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1、</w:t>
      </w:r>
      <w:r>
        <w:rPr>
          <w:rFonts w:ascii="宋体" w:hAnsi="宋体" w:cs="宋体"/>
          <w:color w:val="000000"/>
          <w:sz w:val="24"/>
          <w:szCs w:val="24"/>
        </w:rPr>
        <w:t>按工程进度要求供货到施工现场，负责包装、卸货、安装并调试。如中标人不能按招标人的进度要求供货，招标人有权终止合同，由此引起的全部责任由中标人负责。</w:t>
      </w:r>
      <w:r>
        <w:rPr>
          <w:rFonts w:hint="eastAsia" w:ascii="宋体" w:hAnsi="宋体" w:cs="宋体"/>
          <w:color w:val="000000"/>
          <w:sz w:val="24"/>
          <w:szCs w:val="24"/>
        </w:rPr>
        <w:t>投标人</w:t>
      </w:r>
      <w:r>
        <w:rPr>
          <w:rFonts w:ascii="宋体" w:hAnsi="宋体" w:cs="宋体"/>
          <w:color w:val="000000"/>
          <w:sz w:val="24"/>
          <w:szCs w:val="24"/>
        </w:rPr>
        <w:t>提供的投标产品品质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</w:rPr>
        <w:t>等同</w:t>
      </w:r>
      <w:r>
        <w:rPr>
          <w:rFonts w:hint="eastAsia" w:ascii="宋体" w:hAnsi="宋体" w:cs="宋体"/>
          <w:color w:val="000000"/>
          <w:sz w:val="24"/>
          <w:szCs w:val="24"/>
        </w:rPr>
        <w:t>于（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  <w:highlight w:val="yellow"/>
        </w:rPr>
        <w:t>或优于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highlight w:val="yellow"/>
        </w:rPr>
        <w:t>技术要求中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  <w:highlight w:val="yellow"/>
        </w:rPr>
        <w:t>列举的设备参数。</w:t>
      </w:r>
      <w:r>
        <w:rPr>
          <w:rFonts w:ascii="宋体" w:hAnsi="宋体" w:cs="宋体"/>
          <w:color w:val="000000"/>
          <w:sz w:val="24"/>
          <w:szCs w:val="24"/>
        </w:rPr>
        <w:t>投标报价为招标人指定地点的现场交货价，包括但不限于：</w:t>
      </w: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1）货物的价格</w:t>
      </w:r>
      <w:r>
        <w:rPr>
          <w:rFonts w:hint="eastAsia" w:ascii="宋体" w:hAnsi="宋体" w:cs="宋体"/>
          <w:color w:val="000000"/>
          <w:sz w:val="24"/>
          <w:szCs w:val="24"/>
        </w:rPr>
        <w:t>、品牌、型号、参数</w:t>
      </w:r>
      <w:r>
        <w:rPr>
          <w:rFonts w:ascii="宋体" w:hAnsi="宋体" w:cs="宋体"/>
          <w:color w:val="000000"/>
          <w:sz w:val="24"/>
          <w:szCs w:val="24"/>
        </w:rPr>
        <w:t>；</w:t>
      </w: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2）货物的标准附件、备品备件、专用工具的价格；</w:t>
      </w: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3）运输、装卸、调试、对招标人员培训、技术支持、售后服务等费用；</w:t>
      </w: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5）必要的保险费用和各项税费；</w:t>
      </w:r>
    </w:p>
    <w:p>
      <w:pPr>
        <w:pStyle w:val="12"/>
        <w:spacing w:line="400" w:lineRule="exact"/>
        <w:ind w:left="0" w:firstLine="480" w:firstLineChars="200"/>
        <w:rPr>
          <w:sz w:val="24"/>
          <w:szCs w:val="24"/>
        </w:rPr>
      </w:pPr>
      <w:r>
        <w:rPr>
          <w:rFonts w:hAnsi="宋体"/>
          <w:color w:val="000000"/>
          <w:sz w:val="24"/>
          <w:szCs w:val="24"/>
        </w:rPr>
        <w:t>4）</w:t>
      </w:r>
      <w:r>
        <w:rPr>
          <w:rFonts w:hint="eastAsia" w:hAnsi="宋体"/>
          <w:color w:val="000000"/>
          <w:sz w:val="24"/>
          <w:szCs w:val="24"/>
          <w:lang w:val="en-US" w:eastAsia="zh-CN"/>
        </w:rPr>
        <w:t>系统开发调试、系统部署、硬件</w:t>
      </w:r>
      <w:r>
        <w:rPr>
          <w:rFonts w:hAnsi="宋体"/>
          <w:color w:val="000000"/>
          <w:sz w:val="24"/>
          <w:szCs w:val="24"/>
        </w:rPr>
        <w:t>安装、竣工验收、组织</w:t>
      </w:r>
      <w:r>
        <w:rPr>
          <w:rFonts w:hint="eastAsia" w:hAnsi="宋体"/>
          <w:color w:val="000000"/>
          <w:sz w:val="24"/>
          <w:szCs w:val="24"/>
        </w:rPr>
        <w:t>验收</w:t>
      </w:r>
      <w:r>
        <w:rPr>
          <w:rFonts w:hAnsi="宋体"/>
          <w:color w:val="000000"/>
          <w:sz w:val="24"/>
          <w:szCs w:val="24"/>
        </w:rPr>
        <w:t>、检测费</w:t>
      </w:r>
      <w:r>
        <w:rPr>
          <w:rFonts w:hint="eastAsia" w:hAnsi="宋体"/>
          <w:color w:val="000000"/>
          <w:sz w:val="24"/>
          <w:szCs w:val="24"/>
        </w:rPr>
        <w:t>、</w:t>
      </w:r>
      <w:r>
        <w:rPr>
          <w:rFonts w:hAnsi="宋体"/>
          <w:color w:val="000000"/>
          <w:sz w:val="24"/>
          <w:szCs w:val="24"/>
        </w:rPr>
        <w:t>报告费中标后深化设计所需一切</w:t>
      </w:r>
      <w:r>
        <w:rPr>
          <w:rFonts w:hint="eastAsia" w:hAnsi="宋体"/>
          <w:color w:val="000000"/>
          <w:sz w:val="24"/>
          <w:szCs w:val="24"/>
        </w:rPr>
        <w:t>不可见</w:t>
      </w:r>
      <w:r>
        <w:rPr>
          <w:rFonts w:hAnsi="宋体"/>
          <w:color w:val="000000"/>
          <w:sz w:val="24"/>
          <w:szCs w:val="24"/>
        </w:rPr>
        <w:t>费用。</w:t>
      </w:r>
    </w:p>
    <w:p>
      <w:pPr>
        <w:pStyle w:val="10"/>
        <w:spacing w:line="400" w:lineRule="exact"/>
        <w:ind w:firstLine="472" w:firstLineChars="200"/>
        <w:rPr>
          <w:rFonts w:hAnsi="宋体"/>
          <w:b/>
          <w:color w:val="000000"/>
          <w:kern w:val="0"/>
          <w:sz w:val="24"/>
          <w:szCs w:val="24"/>
        </w:rPr>
      </w:pPr>
      <w:r>
        <w:rPr>
          <w:rFonts w:hint="eastAsia" w:hAnsi="宋体" w:cs="宋体"/>
          <w:spacing w:val="-2"/>
          <w:sz w:val="24"/>
          <w:szCs w:val="24"/>
        </w:rPr>
        <w:t>2、质量保修要求，</w:t>
      </w:r>
      <w:r>
        <w:rPr>
          <w:rFonts w:hint="eastAsia" w:hAnsi="宋体"/>
          <w:bCs/>
          <w:color w:val="000000"/>
          <w:kern w:val="0"/>
          <w:sz w:val="24"/>
          <w:szCs w:val="24"/>
        </w:rPr>
        <w:t>所有产品自验收合格之日算起，</w:t>
      </w:r>
      <w:r>
        <w:rPr>
          <w:rFonts w:hint="eastAsia" w:hAnsi="宋体"/>
          <w:bCs/>
          <w:color w:val="000000"/>
          <w:kern w:val="0"/>
          <w:sz w:val="24"/>
          <w:szCs w:val="24"/>
          <w:lang w:val="en-US" w:eastAsia="zh-CN"/>
        </w:rPr>
        <w:t>软件部分质保两年、硬件部分质保两年</w:t>
      </w:r>
      <w:r>
        <w:rPr>
          <w:rFonts w:hint="eastAsia" w:hAnsi="宋体"/>
          <w:bCs/>
          <w:color w:val="000000"/>
          <w:kern w:val="0"/>
          <w:sz w:val="24"/>
          <w:szCs w:val="24"/>
        </w:rPr>
        <w:t>。超过保修期的免费维修，所需的设备、配件免费提供。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3、售后技术服务要求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（1）、免费</w:t>
      </w:r>
      <w:r>
        <w:rPr>
          <w:rFonts w:ascii="宋体" w:hAnsi="宋体" w:cs="宋体"/>
          <w:color w:val="000000"/>
          <w:sz w:val="24"/>
          <w:szCs w:val="24"/>
        </w:rPr>
        <w:t>安装调试；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如无特殊要求，按厂家规定保修，同时提供产品“三包”服务；定期安排相关人员回访进行质量跟踪；质量保修期后提供终身维修服务及配件供应；其它售后服务按厂家承诺执行；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质量保修期内设备发生故障或损坏时，免费保养、维修、更换零部件；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ascii="宋体" w:hAnsi="宋体" w:cs="宋体"/>
          <w:color w:val="000000"/>
          <w:sz w:val="24"/>
          <w:szCs w:val="24"/>
        </w:rPr>
        <w:t>4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质量保修期内</w:t>
      </w:r>
      <w:r>
        <w:rPr>
          <w:rFonts w:hint="eastAsia" w:ascii="宋体" w:hAnsi="宋体" w:cs="宋体"/>
          <w:color w:val="000000"/>
          <w:sz w:val="24"/>
          <w:szCs w:val="24"/>
        </w:rPr>
        <w:t>，</w:t>
      </w:r>
      <w:r>
        <w:rPr>
          <w:rFonts w:ascii="宋体" w:hAnsi="宋体" w:cs="宋体"/>
          <w:color w:val="000000"/>
          <w:sz w:val="24"/>
          <w:szCs w:val="24"/>
        </w:rPr>
        <w:t>接到系统故障通知后1小时内响应，3小时内免费派人赶赴现场维修，24小时内修复；属于正常使用状态下损坏的设备、零配件由</w:t>
      </w:r>
      <w:r>
        <w:rPr>
          <w:rFonts w:hint="eastAsia" w:ascii="宋体" w:hAnsi="宋体" w:cs="宋体"/>
          <w:color w:val="000000"/>
          <w:sz w:val="24"/>
          <w:szCs w:val="24"/>
        </w:rPr>
        <w:t>中标人</w:t>
      </w:r>
      <w:r>
        <w:rPr>
          <w:rFonts w:ascii="宋体" w:hAnsi="宋体" w:cs="宋体"/>
          <w:color w:val="000000"/>
          <w:sz w:val="24"/>
          <w:szCs w:val="24"/>
        </w:rPr>
        <w:t>免费更换，属于人为因素损坏的设备、零配件则由责任人按成本价承担更换费用，</w:t>
      </w:r>
      <w:r>
        <w:rPr>
          <w:rFonts w:hint="eastAsia" w:ascii="宋体" w:hAnsi="宋体" w:cs="宋体"/>
          <w:color w:val="000000"/>
          <w:sz w:val="24"/>
          <w:szCs w:val="24"/>
        </w:rPr>
        <w:t>中标人</w:t>
      </w:r>
      <w:r>
        <w:rPr>
          <w:rFonts w:ascii="宋体" w:hAnsi="宋体" w:cs="宋体"/>
          <w:color w:val="000000"/>
          <w:sz w:val="24"/>
          <w:szCs w:val="24"/>
        </w:rPr>
        <w:t>免收维修费；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ascii="宋体" w:hAnsi="宋体" w:cs="宋体"/>
          <w:color w:val="000000"/>
          <w:sz w:val="24"/>
          <w:szCs w:val="24"/>
        </w:rPr>
        <w:t>5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提供专业培训、技术支持和保修服务。</w:t>
      </w:r>
    </w:p>
    <w:p>
      <w:pPr>
        <w:spacing w:line="400" w:lineRule="exact"/>
        <w:ind w:left="26" w:right="86" w:firstLine="487"/>
        <w:rPr>
          <w:rFonts w:hint="eastAsia" w:ascii="黑体" w:hAnsi="黑体" w:eastAsia="黑体" w:cs="黑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四</w:t>
      </w:r>
      <w:r>
        <w:rPr>
          <w:rFonts w:hint="eastAsia" w:ascii="黑体" w:hAnsi="黑体" w:eastAsia="黑体" w:cs="黑体"/>
          <w:sz w:val="24"/>
          <w:szCs w:val="24"/>
        </w:rPr>
        <w:t>、</w:t>
      </w:r>
      <w:r>
        <w:rPr>
          <w:rFonts w:hint="eastAsia" w:ascii="黑体" w:hAnsi="黑体" w:eastAsia="黑体" w:cs="黑体"/>
          <w:spacing w:val="-7"/>
          <w:sz w:val="24"/>
          <w:szCs w:val="24"/>
          <w14:textOutline w14:w="435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技术服务成果要求：</w:t>
      </w:r>
      <w:r>
        <w:rPr>
          <w:rFonts w:hint="eastAsia" w:ascii="黑体" w:hAnsi="黑体" w:eastAsia="黑体" w:cs="黑体"/>
          <w:sz w:val="24"/>
          <w:szCs w:val="24"/>
        </w:rPr>
        <w:tab/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供应商</w:t>
      </w:r>
      <w:r>
        <w:rPr>
          <w:rFonts w:ascii="宋体" w:hAnsi="宋体" w:cs="宋体"/>
          <w:color w:val="000000"/>
          <w:sz w:val="24"/>
          <w:szCs w:val="24"/>
        </w:rPr>
        <w:t>应按下列</w:t>
      </w:r>
      <w:r>
        <w:rPr>
          <w:rFonts w:hint="eastAsia" w:ascii="宋体" w:hAnsi="宋体" w:cs="宋体"/>
          <w:color w:val="000000"/>
          <w:sz w:val="24"/>
          <w:szCs w:val="24"/>
        </w:rPr>
        <w:t>内容进行技术服务成果</w:t>
      </w:r>
      <w:r>
        <w:rPr>
          <w:rFonts w:ascii="宋体" w:hAnsi="宋体" w:cs="宋体"/>
          <w:color w:val="000000"/>
          <w:sz w:val="24"/>
          <w:szCs w:val="24"/>
        </w:rPr>
        <w:t>说明编写和提交。应递交的有关文件如未特别注明为原件的，可提交复印件，复印件应加盖投标人公章，并提交原件备查。包括</w:t>
      </w:r>
      <w:r>
        <w:rPr>
          <w:rFonts w:hint="eastAsia" w:ascii="宋体" w:hAnsi="宋体" w:cs="宋体"/>
          <w:color w:val="000000"/>
          <w:sz w:val="24"/>
          <w:szCs w:val="24"/>
        </w:rPr>
        <w:t>但不限于</w:t>
      </w:r>
      <w:r>
        <w:rPr>
          <w:rFonts w:ascii="宋体" w:hAnsi="宋体" w:cs="宋体"/>
          <w:color w:val="000000"/>
          <w:sz w:val="24"/>
          <w:szCs w:val="24"/>
        </w:rPr>
        <w:t>：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）、投标函、投标报价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表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法定代表人身份证明书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法定代表人授权委托书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售后服务承诺书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color w:val="000000"/>
          <w:sz w:val="24"/>
          <w:szCs w:val="24"/>
        </w:rPr>
        <w:t>）、</w:t>
      </w:r>
      <w:r>
        <w:rPr>
          <w:rFonts w:ascii="宋体" w:hAnsi="宋体" w:cs="宋体"/>
          <w:color w:val="000000"/>
          <w:sz w:val="24"/>
          <w:szCs w:val="24"/>
        </w:rPr>
        <w:t>投标人资格证明文件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a.投标人有效的“企业营业执照”副本内页复印件</w:t>
      </w:r>
      <w:r>
        <w:rPr>
          <w:rFonts w:hint="eastAsia" w:ascii="宋体" w:hAnsi="宋体" w:cs="宋体"/>
          <w:color w:val="000000"/>
          <w:sz w:val="24"/>
          <w:szCs w:val="24"/>
        </w:rPr>
        <w:t>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b</w:t>
      </w:r>
      <w:r>
        <w:rPr>
          <w:rFonts w:ascii="宋体" w:hAnsi="宋体" w:cs="宋体"/>
          <w:color w:val="000000"/>
          <w:sz w:val="24"/>
          <w:szCs w:val="24"/>
        </w:rPr>
        <w:t>.投标人有效的</w:t>
      </w:r>
      <w:r>
        <w:rPr>
          <w:rFonts w:hint="eastAsia" w:ascii="宋体" w:hAnsi="宋体" w:cs="宋体"/>
          <w:color w:val="000000"/>
          <w:sz w:val="24"/>
          <w:szCs w:val="24"/>
        </w:rPr>
        <w:t>资质证书</w:t>
      </w:r>
      <w:r>
        <w:rPr>
          <w:rFonts w:ascii="宋体" w:hAnsi="宋体" w:cs="宋体"/>
          <w:color w:val="000000"/>
          <w:sz w:val="24"/>
          <w:szCs w:val="24"/>
        </w:rPr>
        <w:t>复印件</w:t>
      </w:r>
      <w:r>
        <w:rPr>
          <w:rFonts w:hint="eastAsia" w:ascii="宋体" w:hAnsi="宋体" w:cs="宋体"/>
          <w:color w:val="000000"/>
          <w:sz w:val="24"/>
          <w:szCs w:val="24"/>
        </w:rPr>
        <w:t>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c.拟派项目人员资质证明复印件；</w:t>
      </w:r>
    </w:p>
    <w:p>
      <w:pPr>
        <w:spacing w:line="400" w:lineRule="exact"/>
        <w:ind w:firstLine="480" w:firstLineChars="20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d.信用信息查询打印件：</w:t>
      </w:r>
    </w:p>
    <w:p>
      <w:pPr>
        <w:spacing w:line="400" w:lineRule="exact"/>
        <w:ind w:firstLine="0" w:firstLineChars="0"/>
        <w:rPr>
          <w:rFonts w:hint="eastAsia"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项目实施组织方案；</w:t>
      </w:r>
    </w:p>
    <w:p>
      <w:pPr>
        <w:spacing w:line="400" w:lineRule="exact"/>
        <w:ind w:firstLine="240" w:firstLineChars="100"/>
        <w:rPr>
          <w:rFonts w:hint="eastAsia"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7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项目运维和产品质保方案</w:t>
      </w:r>
    </w:p>
    <w:p>
      <w:pPr>
        <w:spacing w:line="400" w:lineRule="exact"/>
        <w:ind w:firstLine="240" w:firstLineChars="100"/>
        <w:rPr>
          <w:rFonts w:hint="eastAsia"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8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全套软硬件设备、配件清单</w:t>
      </w:r>
      <w:bookmarkStart w:id="0" w:name="_GoBack"/>
      <w:bookmarkEnd w:id="0"/>
    </w:p>
    <w:p>
      <w:pPr>
        <w:ind w:firstLine="240" w:firstLineChars="100"/>
      </w:pPr>
      <w:r>
        <w:rPr>
          <w:rFonts w:hint="eastAsia" w:ascii="宋体" w:hAnsi="宋体" w:cs="宋体"/>
          <w:color w:val="000000"/>
          <w:sz w:val="24"/>
          <w:szCs w:val="24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ascii="宋体" w:hAnsi="宋体" w:cs="宋体"/>
          <w:b/>
          <w:bCs/>
          <w:color w:val="000000"/>
          <w:sz w:val="24"/>
          <w:szCs w:val="24"/>
        </w:rPr>
        <w:t>投标人认为有必要提供的其它材料(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若有请提供</w:t>
      </w:r>
      <w:r>
        <w:rPr>
          <w:rFonts w:ascii="宋体" w:hAnsi="宋体" w:cs="宋体"/>
          <w:b/>
          <w:bCs/>
          <w:color w:val="000000"/>
          <w:sz w:val="24"/>
          <w:szCs w:val="24"/>
        </w:rPr>
        <w:t>)。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14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14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55A268"/>
    <w:multiLevelType w:val="singleLevel"/>
    <w:tmpl w:val="BB55A268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27CC01A"/>
    <w:multiLevelType w:val="singleLevel"/>
    <w:tmpl w:val="127CC01A"/>
    <w:lvl w:ilvl="0" w:tentative="0">
      <w:start w:val="5"/>
      <w:numFmt w:val="decimal"/>
      <w:lvlText w:val="%1)"/>
      <w:lvlJc w:val="left"/>
      <w:pPr>
        <w:tabs>
          <w:tab w:val="left" w:pos="312"/>
        </w:tabs>
      </w:pPr>
    </w:lvl>
  </w:abstractNum>
  <w:abstractNum w:abstractNumId="2">
    <w:nsid w:val="2140601E"/>
    <w:multiLevelType w:val="singleLevel"/>
    <w:tmpl w:val="2140601E"/>
    <w:lvl w:ilvl="0" w:tentative="0">
      <w:start w:val="1"/>
      <w:numFmt w:val="decimal"/>
      <w:pStyle w:val="7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ZhZTNkNGNhMmY5OTJiMThjOGVmODJkNzI4NmUifQ=="/>
  </w:docVars>
  <w:rsids>
    <w:rsidRoot w:val="00000000"/>
    <w:rsid w:val="15CD05C6"/>
    <w:rsid w:val="2B773912"/>
    <w:rsid w:val="2C38367D"/>
    <w:rsid w:val="2EF0693C"/>
    <w:rsid w:val="317D7843"/>
    <w:rsid w:val="3EFB1E41"/>
    <w:rsid w:val="430B1602"/>
    <w:rsid w:val="446A7870"/>
    <w:rsid w:val="49F0314C"/>
    <w:rsid w:val="4D3D6067"/>
    <w:rsid w:val="505232E1"/>
    <w:rsid w:val="54AE5E81"/>
    <w:rsid w:val="6A127171"/>
    <w:rsid w:val="7624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宋体"/>
      <w:b/>
      <w:kern w:val="44"/>
      <w:sz w:val="44"/>
    </w:rPr>
  </w:style>
  <w:style w:type="paragraph" w:styleId="5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eastAsia="宋体"/>
      <w:b/>
      <w:sz w:val="32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0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8">
    <w:name w:val="Body Text"/>
    <w:basedOn w:val="1"/>
    <w:autoRedefine/>
    <w:qFormat/>
    <w:uiPriority w:val="0"/>
    <w:pPr>
      <w:spacing w:after="120"/>
    </w:pPr>
  </w:style>
  <w:style w:type="paragraph" w:styleId="9">
    <w:name w:val="Block Text"/>
    <w:basedOn w:val="1"/>
    <w:next w:val="7"/>
    <w:qFormat/>
    <w:uiPriority w:val="0"/>
    <w:pPr>
      <w:adjustRightInd w:val="0"/>
      <w:ind w:left="420" w:right="33"/>
      <w:jc w:val="left"/>
      <w:textAlignment w:val="baseline"/>
    </w:pPr>
    <w:rPr>
      <w:kern w:val="0"/>
      <w:sz w:val="24"/>
      <w:szCs w:val="20"/>
    </w:rPr>
  </w:style>
  <w:style w:type="paragraph" w:styleId="10">
    <w:name w:val="Plain Text"/>
    <w:basedOn w:val="1"/>
    <w:autoRedefine/>
    <w:qFormat/>
    <w:uiPriority w:val="0"/>
    <w:rPr>
      <w:rFonts w:ascii="宋体" w:hAnsi="Courier New" w:eastAsia="宋体" w:cs="Times New Roman"/>
    </w:rPr>
  </w:style>
  <w:style w:type="paragraph" w:styleId="11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toc 2"/>
    <w:basedOn w:val="1"/>
    <w:next w:val="1"/>
    <w:qFormat/>
    <w:uiPriority w:val="39"/>
    <w:pPr>
      <w:tabs>
        <w:tab w:val="right" w:leader="dot" w:pos="9628"/>
      </w:tabs>
      <w:ind w:left="420" w:firstLine="120"/>
      <w:jc w:val="left"/>
    </w:pPr>
    <w:rPr>
      <w:smallCap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2021-11-29T07:11:00Z</dcterms:created>
  <dc:creator>Administrator</dc:creator>
  <cp:lastModifiedBy>Bileygr</cp:lastModifiedBy>
  <dcterms:modified xsi:type="dcterms:W3CDTF">2024-02-02T03:12:15Z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3D803DB85E8143B4AD43CAB6034CF8A2</vt:lpwstr>
  </property>
</Properties>
</file>