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hAnsi="宋体" w:cs="宋体"/>
          <w:b w:val="0"/>
          <w:bCs/>
          <w:color w:val="000000"/>
          <w:sz w:val="24"/>
          <w:szCs w:val="24"/>
          <w:lang w:val="en-US" w:eastAsia="zh-CN"/>
        </w:rPr>
      </w:pPr>
    </w:p>
    <w:p>
      <w:pPr>
        <w:snapToGrid w:val="0"/>
        <w:spacing w:line="600" w:lineRule="exact"/>
        <w:jc w:val="center"/>
        <w:rPr>
          <w:rFonts w:hint="eastAsia" w:ascii="仿宋" w:hAnsi="仿宋" w:eastAsia="仿宋" w:cs="仿宋"/>
          <w:b/>
          <w:sz w:val="36"/>
          <w:szCs w:val="36"/>
        </w:rPr>
      </w:pPr>
      <w:bookmarkStart w:id="0" w:name="_GoBack"/>
      <w:bookmarkEnd w:id="0"/>
      <w:r>
        <w:rPr>
          <w:rFonts w:hint="eastAsia" w:ascii="仿宋" w:hAnsi="仿宋" w:eastAsia="仿宋" w:cs="仿宋"/>
          <w:b/>
          <w:sz w:val="36"/>
          <w:szCs w:val="36"/>
        </w:rPr>
        <w:t>广西（中国－东盟）粮食物流产业园区一期</w:t>
      </w:r>
    </w:p>
    <w:p>
      <w:pPr>
        <w:snapToGrid w:val="0"/>
        <w:spacing w:line="600" w:lineRule="exact"/>
        <w:jc w:val="center"/>
        <w:rPr>
          <w:rFonts w:hint="eastAsia" w:ascii="仿宋" w:hAnsi="仿宋" w:eastAsia="仿宋" w:cs="仿宋"/>
          <w:b/>
          <w:sz w:val="24"/>
          <w:szCs w:val="24"/>
        </w:rPr>
      </w:pPr>
      <w:r>
        <w:rPr>
          <w:rFonts w:hint="eastAsia" w:ascii="仿宋" w:hAnsi="仿宋" w:eastAsia="仿宋" w:cs="仿宋"/>
          <w:b/>
          <w:sz w:val="36"/>
          <w:szCs w:val="36"/>
        </w:rPr>
        <w:t>工程维保服务外包合同</w:t>
      </w:r>
    </w:p>
    <w:p>
      <w:pPr>
        <w:rPr>
          <w:rFonts w:hint="eastAsia" w:ascii="仿宋" w:hAnsi="仿宋" w:eastAsia="仿宋" w:cs="仿宋"/>
          <w:b/>
          <w:kern w:val="0"/>
          <w:sz w:val="28"/>
          <w:szCs w:val="28"/>
          <w:lang w:val="zh-CN"/>
        </w:rPr>
      </w:pPr>
    </w:p>
    <w:p>
      <w:pPr>
        <w:spacing w:line="440" w:lineRule="exact"/>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甲方（</w:t>
      </w:r>
      <w:r>
        <w:rPr>
          <w:rFonts w:hint="eastAsia" w:ascii="仿宋" w:hAnsi="仿宋" w:eastAsia="仿宋" w:cs="仿宋"/>
          <w:sz w:val="28"/>
          <w:szCs w:val="28"/>
        </w:rPr>
        <w:t>发包方</w:t>
      </w:r>
      <w:r>
        <w:rPr>
          <w:rFonts w:hint="eastAsia" w:ascii="仿宋" w:hAnsi="仿宋" w:eastAsia="仿宋" w:cs="仿宋"/>
          <w:sz w:val="28"/>
          <w:szCs w:val="28"/>
          <w:lang w:val="zh-CN"/>
        </w:rPr>
        <w:t>）：</w:t>
      </w:r>
    </w:p>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乙方（</w:t>
      </w:r>
      <w:r>
        <w:rPr>
          <w:rFonts w:hint="eastAsia" w:ascii="仿宋" w:hAnsi="仿宋" w:eastAsia="仿宋" w:cs="仿宋"/>
          <w:sz w:val="28"/>
          <w:szCs w:val="28"/>
        </w:rPr>
        <w:t>承包方</w:t>
      </w:r>
      <w:r>
        <w:rPr>
          <w:rFonts w:hint="eastAsia" w:ascii="仿宋" w:hAnsi="仿宋" w:eastAsia="仿宋" w:cs="仿宋"/>
          <w:sz w:val="28"/>
          <w:szCs w:val="28"/>
          <w:lang w:val="zh-CN"/>
        </w:rPr>
        <w:t>）：</w:t>
      </w:r>
    </w:p>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根据《民法典》《物业管理条例》等有关法律、法规的规定，就乙方</w:t>
      </w:r>
      <w:r>
        <w:rPr>
          <w:rFonts w:hint="eastAsia" w:ascii="仿宋" w:hAnsi="仿宋" w:eastAsia="仿宋" w:cs="仿宋"/>
          <w:sz w:val="28"/>
          <w:szCs w:val="28"/>
        </w:rPr>
        <w:t>承包甲方物业管理区域工程维保</w:t>
      </w:r>
      <w:r>
        <w:rPr>
          <w:rFonts w:hint="eastAsia" w:ascii="仿宋" w:hAnsi="仿宋" w:eastAsia="仿宋" w:cs="仿宋"/>
          <w:sz w:val="28"/>
          <w:szCs w:val="28"/>
          <w:lang w:val="zh-CN"/>
        </w:rPr>
        <w:t>服务的有关</w:t>
      </w:r>
      <w:r>
        <w:rPr>
          <w:rFonts w:hint="eastAsia" w:ascii="仿宋" w:hAnsi="仿宋" w:eastAsia="仿宋" w:cs="仿宋"/>
          <w:sz w:val="28"/>
          <w:szCs w:val="28"/>
        </w:rPr>
        <w:t>事项</w:t>
      </w:r>
      <w:r>
        <w:rPr>
          <w:rFonts w:hint="eastAsia" w:ascii="仿宋" w:hAnsi="仿宋" w:eastAsia="仿宋" w:cs="仿宋"/>
          <w:sz w:val="28"/>
          <w:szCs w:val="28"/>
          <w:lang w:val="zh-CN"/>
        </w:rPr>
        <w:t>，双方经友好协商订立本合同，双方共同遵守。</w:t>
      </w:r>
    </w:p>
    <w:p>
      <w:pPr>
        <w:numPr>
          <w:ilvl w:val="0"/>
          <w:numId w:val="1"/>
        </w:num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服务范围及人员配备</w:t>
      </w:r>
    </w:p>
    <w:p>
      <w:pPr>
        <w:pStyle w:val="2"/>
        <w:numPr>
          <w:numId w:val="0"/>
        </w:numPr>
        <w:wordWrap/>
        <w:adjustRightInd/>
        <w:snapToGrid/>
        <w:spacing w:after="0" w:line="240" w:lineRule="auto"/>
        <w:rPr>
          <w:rFonts w:hint="eastAsia" w:ascii="仿宋" w:hAnsi="仿宋" w:eastAsia="仿宋" w:cs="仿宋"/>
          <w:lang w:val="zh-CN"/>
        </w:rPr>
      </w:pPr>
    </w:p>
    <w:tbl>
      <w:tblPr>
        <w:tblW w:w="9004"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245"/>
        <w:gridCol w:w="157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324" w:type="dxa"/>
            <w:vAlign w:val="center"/>
          </w:tcPr>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物业地址</w:t>
            </w:r>
          </w:p>
        </w:tc>
        <w:tc>
          <w:tcPr>
            <w:tcW w:w="2245" w:type="dxa"/>
            <w:vAlign w:val="center"/>
          </w:tcPr>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服务内容</w:t>
            </w:r>
          </w:p>
        </w:tc>
        <w:tc>
          <w:tcPr>
            <w:tcW w:w="1575" w:type="dxa"/>
            <w:vAlign w:val="center"/>
          </w:tcPr>
          <w:p>
            <w:pPr>
              <w:wordWrap/>
              <w:adjustRightInd/>
              <w:snapToGrid/>
              <w:spacing w:line="240" w:lineRule="auto"/>
              <w:jc w:val="center"/>
              <w:rPr>
                <w:rFonts w:hint="eastAsia" w:ascii="仿宋" w:hAnsi="仿宋" w:eastAsia="仿宋" w:cs="仿宋"/>
                <w:b/>
                <w:spacing w:val="-11"/>
                <w:kern w:val="0"/>
                <w:sz w:val="24"/>
                <w:szCs w:val="24"/>
              </w:rPr>
            </w:pPr>
            <w:r>
              <w:rPr>
                <w:rFonts w:hint="eastAsia" w:ascii="仿宋" w:hAnsi="仿宋" w:eastAsia="仿宋" w:cs="仿宋"/>
                <w:b/>
                <w:spacing w:val="-11"/>
                <w:kern w:val="0"/>
                <w:sz w:val="24"/>
                <w:szCs w:val="24"/>
              </w:rPr>
              <w:t>项目</w:t>
            </w:r>
          </w:p>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spacing w:val="-11"/>
                <w:kern w:val="0"/>
                <w:sz w:val="24"/>
                <w:szCs w:val="24"/>
              </w:rPr>
              <w:t>人员配备</w:t>
            </w:r>
          </w:p>
        </w:tc>
        <w:tc>
          <w:tcPr>
            <w:tcW w:w="1860" w:type="dxa"/>
            <w:vAlign w:val="center"/>
          </w:tcPr>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3324" w:type="dxa"/>
            <w:vAlign w:val="top"/>
          </w:tcPr>
          <w:p>
            <w:pPr>
              <w:wordWrap/>
              <w:adjustRightInd/>
              <w:snapToGrid/>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南宁市良庆区振良大道北侧、海晖路西侧，该项目共有14栋建筑物，分为1# -14#楼，均为框架结构，总建筑面积为96060.35平方米（其中地上建筑面积为85820.15平方米，地下建筑面积为10240.20平方米）。</w:t>
            </w:r>
          </w:p>
        </w:tc>
        <w:tc>
          <w:tcPr>
            <w:tcW w:w="2245" w:type="dxa"/>
            <w:vAlign w:val="top"/>
          </w:tcPr>
          <w:p>
            <w:pPr>
              <w:wordWrap/>
              <w:adjustRightInd/>
              <w:snapToGrid/>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1.物业共用部位的维修养护；</w:t>
            </w:r>
          </w:p>
          <w:p>
            <w:pPr>
              <w:wordWrap/>
              <w:adjustRightInd/>
              <w:snapToGrid/>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2.物业共用设施设备的日常运行和维修养护；</w:t>
            </w:r>
          </w:p>
          <w:p>
            <w:pPr>
              <w:wordWrap/>
              <w:adjustRightInd/>
              <w:snapToGrid/>
              <w:spacing w:line="240" w:lineRule="auto"/>
              <w:rPr>
                <w:rFonts w:hint="eastAsia" w:ascii="仿宋" w:hAnsi="仿宋" w:eastAsia="仿宋" w:cs="仿宋"/>
                <w:kern w:val="0"/>
                <w:sz w:val="24"/>
                <w:szCs w:val="24"/>
                <w:lang w:eastAsia="zh-CN"/>
              </w:rPr>
            </w:pPr>
            <w:r>
              <w:rPr>
                <w:rFonts w:hint="eastAsia" w:ascii="仿宋" w:hAnsi="仿宋" w:eastAsia="仿宋" w:cs="仿宋"/>
                <w:kern w:val="0"/>
                <w:sz w:val="24"/>
                <w:szCs w:val="24"/>
              </w:rPr>
              <w:t>3.其他常规物业服务事项</w:t>
            </w:r>
            <w:r>
              <w:rPr>
                <w:rFonts w:hint="eastAsia" w:ascii="仿宋" w:hAnsi="仿宋" w:eastAsia="仿宋" w:cs="仿宋"/>
                <w:kern w:val="0"/>
                <w:sz w:val="24"/>
                <w:szCs w:val="24"/>
                <w:lang w:eastAsia="zh-CN"/>
              </w:rPr>
              <w:t>。</w:t>
            </w:r>
          </w:p>
        </w:tc>
        <w:tc>
          <w:tcPr>
            <w:tcW w:w="1575" w:type="dxa"/>
            <w:vAlign w:val="top"/>
          </w:tcPr>
          <w:p>
            <w:pPr>
              <w:wordWrap/>
              <w:adjustRightInd/>
              <w:snapToGrid/>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工程领班1人</w:t>
            </w:r>
          </w:p>
          <w:p>
            <w:pPr>
              <w:wordWrap/>
              <w:adjustRightInd/>
              <w:snapToGrid/>
              <w:spacing w:line="24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水电工1</w:t>
            </w:r>
            <w:r>
              <w:rPr>
                <w:rFonts w:hint="eastAsia" w:ascii="仿宋" w:hAnsi="仿宋" w:eastAsia="仿宋" w:cs="仿宋"/>
                <w:kern w:val="0"/>
                <w:sz w:val="24"/>
                <w:szCs w:val="24"/>
              </w:rPr>
              <w:t>人</w:t>
            </w:r>
          </w:p>
          <w:p>
            <w:pPr>
              <w:wordWrap/>
              <w:adjustRightInd/>
              <w:snapToGrid/>
              <w:spacing w:line="240" w:lineRule="auto"/>
              <w:rPr>
                <w:rFonts w:hint="eastAsia" w:ascii="仿宋" w:hAnsi="仿宋" w:eastAsia="仿宋" w:cs="仿宋"/>
                <w:kern w:val="0"/>
                <w:sz w:val="24"/>
                <w:szCs w:val="24"/>
              </w:rPr>
            </w:pPr>
          </w:p>
        </w:tc>
        <w:tc>
          <w:tcPr>
            <w:tcW w:w="1860" w:type="dxa"/>
            <w:vAlign w:val="top"/>
          </w:tcPr>
          <w:p>
            <w:pPr>
              <w:wordWrap/>
              <w:adjustRightInd/>
              <w:snapToGrid/>
              <w:spacing w:line="24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各岗位人员应满足每月应出勤天数，每人每月安排休息4天，轮休方式单休。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3324" w:type="dxa"/>
            <w:vAlign w:val="center"/>
          </w:tcPr>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合计</w:t>
            </w:r>
          </w:p>
        </w:tc>
        <w:tc>
          <w:tcPr>
            <w:tcW w:w="2245" w:type="dxa"/>
            <w:vAlign w:val="center"/>
          </w:tcPr>
          <w:p>
            <w:pPr>
              <w:wordWrap/>
              <w:adjustRightInd/>
              <w:snapToGrid/>
              <w:spacing w:line="240" w:lineRule="auto"/>
              <w:jc w:val="center"/>
              <w:rPr>
                <w:rFonts w:hint="eastAsia" w:ascii="仿宋" w:hAnsi="仿宋" w:eastAsia="仿宋" w:cs="仿宋"/>
                <w:b/>
                <w:kern w:val="0"/>
                <w:sz w:val="24"/>
                <w:szCs w:val="24"/>
              </w:rPr>
            </w:pPr>
          </w:p>
        </w:tc>
        <w:tc>
          <w:tcPr>
            <w:tcW w:w="3435" w:type="dxa"/>
            <w:gridSpan w:val="2"/>
            <w:vAlign w:val="center"/>
          </w:tcPr>
          <w:p>
            <w:pPr>
              <w:wordWrap/>
              <w:adjustRightInd/>
              <w:snapToGrid/>
              <w:spacing w:line="24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人</w:t>
            </w:r>
          </w:p>
        </w:tc>
      </w:tr>
    </w:tbl>
    <w:p>
      <w:pPr>
        <w:wordWrap/>
        <w:adjustRightInd/>
        <w:snapToGrid/>
        <w:spacing w:line="240" w:lineRule="auto"/>
        <w:ind w:firstLine="562" w:firstLineChars="200"/>
        <w:rPr>
          <w:rFonts w:hint="eastAsia" w:ascii="仿宋" w:hAnsi="仿宋" w:eastAsia="仿宋" w:cs="仿宋"/>
          <w:b/>
          <w:bCs/>
          <w:sz w:val="28"/>
          <w:szCs w:val="28"/>
          <w:lang w:val="zh-CN"/>
        </w:rPr>
      </w:pPr>
    </w:p>
    <w:p>
      <w:pPr>
        <w:rPr>
          <w:rFonts w:hint="eastAsia" w:ascii="仿宋" w:hAnsi="仿宋" w:eastAsia="仿宋" w:cs="仿宋"/>
          <w:b/>
          <w:bCs/>
          <w:sz w:val="28"/>
          <w:szCs w:val="28"/>
          <w:lang w:val="zh-CN"/>
        </w:rPr>
      </w:pPr>
      <w:r>
        <w:rPr>
          <w:rFonts w:hint="eastAsia" w:ascii="仿宋" w:hAnsi="仿宋" w:eastAsia="仿宋" w:cs="仿宋"/>
          <w:b/>
          <w:bCs/>
          <w:sz w:val="28"/>
          <w:szCs w:val="28"/>
          <w:lang w:val="zh-CN"/>
        </w:rPr>
        <w:br w:type="page"/>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第二条 服务期限</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物业</w:t>
      </w:r>
      <w:r>
        <w:rPr>
          <w:rFonts w:hint="eastAsia" w:ascii="仿宋" w:hAnsi="仿宋" w:eastAsia="仿宋" w:cs="仿宋"/>
          <w:sz w:val="28"/>
          <w:szCs w:val="28"/>
        </w:rPr>
        <w:t>工程维保</w:t>
      </w:r>
      <w:r>
        <w:rPr>
          <w:rFonts w:hint="eastAsia" w:ascii="仿宋" w:hAnsi="仿宋" w:eastAsia="仿宋" w:cs="仿宋"/>
          <w:sz w:val="28"/>
          <w:szCs w:val="28"/>
          <w:lang w:val="zh-CN"/>
        </w:rPr>
        <w:t>服务期限自202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年1月1日至2024年8月31日止。合同期满，本合同自行终止。双方需继续合作的，应另行签订补充协议予以明确双方权利义务。</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第三条 服务费标准及支付方式</w:t>
      </w:r>
    </w:p>
    <w:p>
      <w:pPr>
        <w:wordWrap/>
        <w:adjustRightInd/>
        <w:snapToGrid/>
        <w:spacing w:line="24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sz w:val="28"/>
          <w:szCs w:val="28"/>
          <w:lang w:val="zh-CN"/>
        </w:rPr>
        <w:t>3.1</w:t>
      </w:r>
      <w:r>
        <w:rPr>
          <w:rFonts w:hint="eastAsia" w:ascii="仿宋" w:hAnsi="仿宋" w:eastAsia="仿宋" w:cs="仿宋"/>
          <w:b w:val="0"/>
          <w:bCs w:val="0"/>
          <w:color w:val="auto"/>
          <w:sz w:val="28"/>
          <w:szCs w:val="28"/>
          <w:highlight w:val="none"/>
          <w:lang w:val="zh-CN" w:eastAsia="zh-CN"/>
        </w:rPr>
        <w:t>合同含税总价</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元（</w:t>
      </w:r>
      <w:r>
        <w:rPr>
          <w:rFonts w:hint="eastAsia" w:ascii="仿宋" w:hAnsi="仿宋" w:eastAsia="仿宋" w:cs="仿宋"/>
          <w:color w:val="auto"/>
          <w:sz w:val="28"/>
          <w:szCs w:val="28"/>
          <w:highlight w:val="none"/>
          <w:lang w:val="zh-CN" w:eastAsia="zh-CN"/>
        </w:rPr>
        <w:t>大写</w:t>
      </w:r>
      <w:r>
        <w:rPr>
          <w:rFonts w:hint="eastAsia" w:ascii="仿宋" w:hAnsi="仿宋" w:eastAsia="仿宋" w:cs="仿宋"/>
          <w:color w:val="auto"/>
          <w:sz w:val="28"/>
          <w:szCs w:val="28"/>
          <w:highlight w:val="none"/>
          <w:lang w:val="zh-CN"/>
        </w:rPr>
        <w:t>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），不含税</w:t>
      </w:r>
      <w:r>
        <w:rPr>
          <w:rFonts w:hint="eastAsia" w:ascii="仿宋" w:hAnsi="仿宋" w:eastAsia="仿宋" w:cs="仿宋"/>
          <w:color w:val="auto"/>
          <w:sz w:val="28"/>
          <w:szCs w:val="28"/>
          <w:highlight w:val="none"/>
          <w:lang w:val="zh-CN" w:eastAsia="zh-CN"/>
        </w:rPr>
        <w:t>总价</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元，</w:t>
      </w:r>
      <w:r>
        <w:rPr>
          <w:rFonts w:hint="eastAsia" w:ascii="仿宋" w:hAnsi="仿宋" w:eastAsia="仿宋" w:cs="仿宋"/>
          <w:color w:val="auto"/>
          <w:sz w:val="28"/>
          <w:szCs w:val="28"/>
          <w:highlight w:val="none"/>
          <w:lang w:val="zh-CN" w:eastAsia="zh-CN"/>
        </w:rPr>
        <w:t>税款</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元，税率6%。月度</w:t>
      </w:r>
      <w:r>
        <w:rPr>
          <w:rFonts w:hint="eastAsia" w:ascii="仿宋" w:hAnsi="仿宋" w:eastAsia="仿宋" w:cs="仿宋"/>
          <w:color w:val="auto"/>
          <w:sz w:val="28"/>
          <w:szCs w:val="28"/>
          <w:highlight w:val="none"/>
          <w:lang w:val="zh-CN" w:eastAsia="zh-CN"/>
        </w:rPr>
        <w:t>服务</w:t>
      </w:r>
      <w:r>
        <w:rPr>
          <w:rFonts w:hint="eastAsia" w:ascii="仿宋" w:hAnsi="仿宋" w:eastAsia="仿宋" w:cs="仿宋"/>
          <w:color w:val="auto"/>
          <w:sz w:val="28"/>
          <w:szCs w:val="28"/>
          <w:highlight w:val="none"/>
          <w:lang w:val="zh-CN"/>
        </w:rPr>
        <w:t>费</w:t>
      </w:r>
      <w:r>
        <w:rPr>
          <w:rFonts w:hint="eastAsia" w:ascii="仿宋" w:hAnsi="仿宋" w:eastAsia="仿宋" w:cs="仿宋"/>
          <w:color w:val="auto"/>
          <w:sz w:val="28"/>
          <w:szCs w:val="28"/>
          <w:highlight w:val="none"/>
          <w:lang w:val="zh-CN" w:eastAsia="zh-CN"/>
        </w:rPr>
        <w:t>暂定为</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元/月。</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上述费用</w:t>
      </w:r>
      <w:r>
        <w:rPr>
          <w:rFonts w:hint="eastAsia" w:ascii="仿宋" w:hAnsi="仿宋" w:eastAsia="仿宋" w:cs="仿宋"/>
          <w:sz w:val="28"/>
          <w:szCs w:val="28"/>
          <w:lang w:val="zh-CN"/>
        </w:rPr>
        <w:t>包括但不限于人员工资、保险、服装费（按招标单位指定款式）、福利、培训、管理费、风险、利润、</w:t>
      </w:r>
      <w:r>
        <w:rPr>
          <w:rFonts w:hint="eastAsia" w:ascii="仿宋" w:hAnsi="仿宋" w:eastAsia="仿宋" w:cs="仿宋"/>
          <w:color w:val="auto"/>
          <w:sz w:val="28"/>
          <w:szCs w:val="28"/>
          <w:highlight w:val="none"/>
          <w:lang w:val="en-US" w:eastAsia="zh-CN"/>
        </w:rPr>
        <w:t>税金、政策性文件规定费用及履行合同所需发生的其他费用（包括但不限于各类迎检、疫情防控等所需的设备及物资）等</w:t>
      </w:r>
      <w:r>
        <w:rPr>
          <w:rFonts w:hint="eastAsia" w:ascii="仿宋" w:hAnsi="仿宋" w:eastAsia="仿宋" w:cs="仿宋"/>
          <w:sz w:val="28"/>
          <w:szCs w:val="28"/>
          <w:lang w:val="zh-CN"/>
        </w:rPr>
        <w:t>，未经甲方书面同意乙方擅自增员的，费用不予增加。（</w:t>
      </w:r>
      <w:r>
        <w:rPr>
          <w:rFonts w:hint="eastAsia" w:ascii="仿宋" w:hAnsi="仿宋" w:eastAsia="仿宋" w:cs="仿宋"/>
          <w:sz w:val="28"/>
          <w:szCs w:val="28"/>
        </w:rPr>
        <w:t>该项目属于酬金制不涉及工料，物资由园区管理方提供。</w:t>
      </w:r>
      <w:r>
        <w:rPr>
          <w:rFonts w:hint="eastAsia" w:ascii="仿宋" w:hAnsi="仿宋" w:eastAsia="仿宋" w:cs="仿宋"/>
          <w:sz w:val="28"/>
          <w:szCs w:val="28"/>
          <w:lang w:val="zh-CN"/>
        </w:rPr>
        <w:t>）</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3.2结算方式：按月支付，每月第10个工作日前，甲方根据该月份考核评定结果（</w:t>
      </w:r>
      <w:r>
        <w:rPr>
          <w:rFonts w:hint="eastAsia" w:ascii="仿宋" w:hAnsi="仿宋" w:eastAsia="仿宋" w:cs="仿宋"/>
          <w:sz w:val="28"/>
          <w:szCs w:val="28"/>
        </w:rPr>
        <w:t>考核标准为</w:t>
      </w:r>
      <w:r>
        <w:rPr>
          <w:rFonts w:hint="eastAsia" w:ascii="仿宋" w:hAnsi="仿宋" w:eastAsia="仿宋" w:cs="仿宋"/>
          <w:sz w:val="28"/>
          <w:szCs w:val="28"/>
          <w:lang w:val="zh-CN"/>
        </w:rPr>
        <w:t>附件1、附件2）等资料核实乙方服务费，经双方核对确认相关服务费后，乙方应开具与结算金额相等且合法有效的增值税专用发票给甲方，收到专用发票之日起</w:t>
      </w:r>
      <w:r>
        <w:rPr>
          <w:rFonts w:hint="eastAsia" w:ascii="仿宋" w:hAnsi="仿宋" w:eastAsia="仿宋" w:cs="仿宋"/>
          <w:sz w:val="28"/>
          <w:szCs w:val="28"/>
        </w:rPr>
        <w:t>10</w:t>
      </w:r>
      <w:r>
        <w:rPr>
          <w:rFonts w:hint="eastAsia" w:ascii="仿宋" w:hAnsi="仿宋" w:eastAsia="仿宋" w:cs="仿宋"/>
          <w:sz w:val="28"/>
          <w:szCs w:val="28"/>
          <w:lang w:val="zh-CN"/>
        </w:rPr>
        <w:t>工作日内甲方以银行转帐方式支付，若乙方未能提供发票，甲方有权顺延付款，且不承担违约责任。如甲方需要乙方增加服务项目内容及增加人数配置的，应提前10日</w:t>
      </w:r>
      <w:r>
        <w:rPr>
          <w:rFonts w:hint="eastAsia" w:ascii="仿宋" w:hAnsi="仿宋" w:eastAsia="仿宋" w:cs="仿宋"/>
          <w:sz w:val="28"/>
          <w:szCs w:val="28"/>
        </w:rPr>
        <w:t>书面</w:t>
      </w:r>
      <w:r>
        <w:rPr>
          <w:rFonts w:hint="eastAsia" w:ascii="仿宋" w:hAnsi="仿宋" w:eastAsia="仿宋" w:cs="仿宋"/>
          <w:sz w:val="28"/>
          <w:szCs w:val="28"/>
          <w:lang w:val="zh-CN"/>
        </w:rPr>
        <w:t>告知乙方，服务费根据实际情况进行调整（单个人员费用计算=岗位工资+福利费+管理费+税费），双方根据实际用人情况进行结算。</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如人员出现事假、病假、旷工等缺岗现象，按实际缺岗天数进行扣除。扣除公式为：单个人员费用÷26（或27）×缺勤天数=扣除费用。</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服务期间乙方做好</w:t>
      </w:r>
      <w:r>
        <w:rPr>
          <w:rFonts w:hint="eastAsia" w:ascii="仿宋" w:hAnsi="仿宋" w:eastAsia="仿宋" w:cs="仿宋"/>
          <w:sz w:val="28"/>
          <w:szCs w:val="28"/>
        </w:rPr>
        <w:t>工程</w:t>
      </w:r>
      <w:r>
        <w:rPr>
          <w:rFonts w:hint="eastAsia" w:ascii="仿宋" w:hAnsi="仿宋" w:eastAsia="仿宋" w:cs="仿宋"/>
          <w:sz w:val="28"/>
          <w:szCs w:val="28"/>
          <w:lang w:val="zh-CN"/>
        </w:rPr>
        <w:t>岗考勤记录；</w:t>
      </w:r>
      <w:r>
        <w:rPr>
          <w:rFonts w:hint="eastAsia" w:ascii="仿宋" w:hAnsi="仿宋" w:eastAsia="仿宋" w:cs="仿宋"/>
          <w:sz w:val="28"/>
          <w:szCs w:val="28"/>
        </w:rPr>
        <w:t>服务结束后三个工作日，</w:t>
      </w:r>
      <w:r>
        <w:rPr>
          <w:rFonts w:hint="eastAsia" w:ascii="仿宋" w:hAnsi="仿宋" w:eastAsia="仿宋" w:cs="仿宋"/>
          <w:sz w:val="28"/>
          <w:szCs w:val="28"/>
          <w:lang w:val="zh-CN"/>
        </w:rPr>
        <w:t>乙方提供付款相关的证明结算资料</w:t>
      </w:r>
      <w:r>
        <w:rPr>
          <w:rFonts w:hint="eastAsia" w:ascii="仿宋" w:hAnsi="仿宋" w:eastAsia="仿宋" w:cs="仿宋"/>
          <w:sz w:val="28"/>
          <w:szCs w:val="28"/>
        </w:rPr>
        <w:t>（</w:t>
      </w:r>
      <w:r>
        <w:rPr>
          <w:rFonts w:hint="eastAsia" w:ascii="仿宋" w:hAnsi="仿宋" w:eastAsia="仿宋" w:cs="仿宋"/>
          <w:sz w:val="28"/>
          <w:szCs w:val="28"/>
          <w:lang w:val="zh-CN"/>
        </w:rPr>
        <w:t>每月人员上岗排班表、每月考勤签到表</w:t>
      </w:r>
      <w:r>
        <w:rPr>
          <w:rFonts w:hint="eastAsia" w:ascii="仿宋" w:hAnsi="仿宋" w:eastAsia="仿宋" w:cs="仿宋"/>
          <w:sz w:val="28"/>
          <w:szCs w:val="28"/>
        </w:rPr>
        <w:t>、《物业外包（工程）服务质量考评表》、请款函)，甲方收到资料5日工作日内完成考核并告知乙方考核结果及应付费用，</w:t>
      </w:r>
      <w:r>
        <w:rPr>
          <w:rFonts w:hint="eastAsia" w:ascii="仿宋" w:hAnsi="仿宋" w:eastAsia="仿宋" w:cs="仿宋"/>
          <w:sz w:val="28"/>
          <w:szCs w:val="28"/>
          <w:lang w:val="zh-CN"/>
        </w:rPr>
        <w:t>乙方</w:t>
      </w:r>
      <w:r>
        <w:rPr>
          <w:rFonts w:hint="eastAsia" w:ascii="仿宋" w:hAnsi="仿宋" w:eastAsia="仿宋" w:cs="仿宋"/>
          <w:sz w:val="28"/>
          <w:szCs w:val="28"/>
        </w:rPr>
        <w:t>再开具</w:t>
      </w:r>
      <w:r>
        <w:rPr>
          <w:rFonts w:hint="eastAsia" w:ascii="仿宋" w:hAnsi="仿宋" w:eastAsia="仿宋" w:cs="仿宋"/>
          <w:sz w:val="28"/>
          <w:szCs w:val="28"/>
          <w:lang w:val="zh-CN"/>
        </w:rPr>
        <w:t>发票</w:t>
      </w:r>
      <w:r>
        <w:rPr>
          <w:rFonts w:hint="eastAsia" w:ascii="仿宋" w:hAnsi="仿宋" w:eastAsia="仿宋" w:cs="仿宋"/>
          <w:sz w:val="28"/>
          <w:szCs w:val="28"/>
        </w:rPr>
        <w:t>送交甲方</w:t>
      </w:r>
      <w:r>
        <w:rPr>
          <w:rFonts w:hint="eastAsia" w:ascii="仿宋" w:hAnsi="仿宋" w:eastAsia="仿宋" w:cs="仿宋"/>
          <w:sz w:val="28"/>
          <w:szCs w:val="28"/>
          <w:lang w:val="zh-CN"/>
        </w:rPr>
        <w:t>，甲方收到发票后10个工作日内</w:t>
      </w:r>
      <w:r>
        <w:rPr>
          <w:rFonts w:hint="eastAsia" w:ascii="仿宋" w:hAnsi="仿宋" w:eastAsia="仿宋" w:cs="仿宋"/>
          <w:sz w:val="28"/>
          <w:szCs w:val="28"/>
        </w:rPr>
        <w:t>完成费用支付</w:t>
      </w:r>
      <w:r>
        <w:rPr>
          <w:rFonts w:hint="eastAsia" w:ascii="仿宋" w:hAnsi="仿宋" w:eastAsia="仿宋" w:cs="仿宋"/>
          <w:sz w:val="28"/>
          <w:szCs w:val="28"/>
          <w:lang w:val="zh-CN"/>
        </w:rPr>
        <w:t>。</w:t>
      </w:r>
      <w:r>
        <w:rPr>
          <w:rFonts w:hint="eastAsia" w:ascii="仿宋" w:hAnsi="仿宋" w:eastAsia="仿宋" w:cs="仿宋"/>
          <w:sz w:val="28"/>
          <w:szCs w:val="28"/>
        </w:rPr>
        <w:t>因乙方迟延提供结算材料或发票的，甲方可顺延付款时间且不负迟延付款违约金</w:t>
      </w:r>
      <w:r>
        <w:rPr>
          <w:rFonts w:hint="eastAsia" w:ascii="仿宋" w:hAnsi="仿宋" w:eastAsia="仿宋" w:cs="仿宋"/>
          <w:sz w:val="28"/>
          <w:szCs w:val="28"/>
          <w:lang w:val="zh-CN"/>
        </w:rPr>
        <w:t>。甲方如未按</w:t>
      </w:r>
      <w:r>
        <w:rPr>
          <w:rFonts w:hint="eastAsia" w:ascii="仿宋" w:hAnsi="仿宋" w:eastAsia="仿宋" w:cs="仿宋"/>
          <w:sz w:val="28"/>
          <w:szCs w:val="28"/>
        </w:rPr>
        <w:t>约定及时支付，每逾期一日，按应付未付金额的万分之五承担迟延支付违约金。</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3.4乙方收款银行账户信息如下：</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开户行：</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户</w:t>
      </w:r>
      <w:r>
        <w:rPr>
          <w:rFonts w:hint="eastAsia" w:ascii="仿宋" w:hAnsi="仿宋" w:eastAsia="仿宋" w:cs="仿宋"/>
          <w:sz w:val="28"/>
          <w:szCs w:val="28"/>
        </w:rPr>
        <w:t xml:space="preserve">  </w:t>
      </w:r>
      <w:r>
        <w:rPr>
          <w:rFonts w:hint="eastAsia" w:ascii="仿宋" w:hAnsi="仿宋" w:eastAsia="仿宋" w:cs="仿宋"/>
          <w:sz w:val="28"/>
          <w:szCs w:val="28"/>
          <w:lang w:val="zh-CN"/>
        </w:rPr>
        <w:t>名：</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账</w:t>
      </w:r>
      <w:r>
        <w:rPr>
          <w:rFonts w:hint="eastAsia" w:ascii="仿宋" w:hAnsi="仿宋" w:eastAsia="仿宋" w:cs="仿宋"/>
          <w:sz w:val="28"/>
          <w:szCs w:val="28"/>
        </w:rPr>
        <w:t xml:space="preserve">  </w:t>
      </w:r>
      <w:r>
        <w:rPr>
          <w:rFonts w:hint="eastAsia" w:ascii="仿宋" w:hAnsi="仿宋" w:eastAsia="仿宋" w:cs="仿宋"/>
          <w:sz w:val="28"/>
          <w:szCs w:val="28"/>
          <w:lang w:val="zh-CN"/>
        </w:rPr>
        <w:t>号：</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乙方对上述收款银行账户信息的真实性、准确性负责。否则，因此造成的损失均由乙方自行承担全部责任。</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3.5用于乙方开具增值税专用发票所涉的甲方相关信息如下：</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单位名称：南宁威凯智慧物业服务有限公司</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纳税识别号：91450100MA5N9QGU49</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地址、电话：中国（广西）自由贸易试验区南宁片区歌海路9号广西体育中心配套工程综合体西座第十二层</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电话：0771-2802103</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开户行：中国建设银行股份有限公司南宁青山路支行</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账</w:t>
      </w:r>
      <w:r>
        <w:rPr>
          <w:rFonts w:hint="eastAsia" w:ascii="仿宋" w:hAnsi="仿宋" w:eastAsia="仿宋" w:cs="仿宋"/>
          <w:sz w:val="28"/>
          <w:szCs w:val="28"/>
        </w:rPr>
        <w:t xml:space="preserve">  </w:t>
      </w:r>
      <w:r>
        <w:rPr>
          <w:rFonts w:hint="eastAsia" w:ascii="仿宋" w:hAnsi="仿宋" w:eastAsia="仿宋" w:cs="仿宋"/>
          <w:sz w:val="28"/>
          <w:szCs w:val="28"/>
          <w:lang w:val="zh-CN"/>
        </w:rPr>
        <w:t>号：4505 0160 4556 0000 0257</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第四条  服务内容及要求</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4.1乙方应建立相关管理制度（如设施设备安全运行、岗位职责、设施设备定期巡检、维护保养、运行记录、维修档案等），制定相关应急预案。</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4.2 乙方应负责园区房屋建筑本体共用部位（楼盖、屋顶、梁、柱、内外墙体和基础等承重结构部位、外墙面、楼梯间、走廊通道、门厅、设备机房等）的维修、养护和管理；制定房屋定期巡检制度、房屋装饰装修管理办法等规章制度；检查、督促房屋使用单位正确使用房屋并制止损坏房屋的行为。</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4.3乙方应负责园区房屋建筑本体共用设施设备（共用的上下水管道、污水管、垃圾房、共用照明、加压供水设备、配电系统、楼内消防设施设备、电梯、供水系统等）的维修、养护、管理和运行服务。</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4.4 乙方应建立房屋档案和报修、维修、回访记录。</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4.5 乙方应急修要求15分钟内到达现场查看处理并及时完成急修任务，维修中所产生的耗材甲方购买。</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4.6合同期限内，电梯检测及年检费、消防设备的检测及年检费、外墙清洗费和共用部位、共用设施设备的大修、中修、小修、更新、改造费用由甲方承担。</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第五条 服务质量要求</w:t>
      </w:r>
    </w:p>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5.1房屋维护内容及要求</w:t>
      </w:r>
    </w:p>
    <w:tbl>
      <w:tblPr>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项目</w:t>
            </w: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4"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房屋检修</w:t>
            </w: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spacing w:val="-11"/>
                <w:kern w:val="0"/>
                <w:sz w:val="24"/>
                <w:szCs w:val="24"/>
              </w:rPr>
              <w:t>1.制定房屋管理规定、房屋维修养护制度、房屋定期巡检制度、房屋装饰装修管理办法等规章制度，检查督促房屋使用单位正确使用房屋。</w:t>
            </w:r>
            <w:r>
              <w:rPr>
                <w:rFonts w:hint="eastAsia" w:ascii="仿宋" w:hAnsi="仿宋" w:eastAsia="仿宋" w:cs="仿宋"/>
                <w:kern w:val="0"/>
                <w:sz w:val="24"/>
                <w:szCs w:val="24"/>
              </w:rPr>
              <w:t>相关制度、流程等应告知入驻单位，并报备给采购人。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8"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rPr>
                <w:rFonts w:hint="eastAsia" w:ascii="仿宋" w:hAnsi="仿宋" w:eastAsia="仿宋" w:cs="仿宋"/>
                <w:sz w:val="24"/>
                <w:szCs w:val="24"/>
              </w:rPr>
            </w:pP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2.定期检查房屋使用和安全状况，做好检查记录，确保正常使用。</w:t>
            </w:r>
          </w:p>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2.1每月巡视1次屋架、屋面、承重墙、地基、外墙、幕墙玻璃等，确保结构安全；每季度检查1次LED屏和各类标识（包括交通、安全、供配电、供水等），确保规范清晰，安装稳固；</w:t>
            </w:r>
          </w:p>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2.2每月检查1次大门、围墙、道路、景观、车棚、雨污管井、化粪池、公共垃圾桶，以及公共部位的室内门、窗、地面、墙面、楼梯、通风道等。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rPr>
                <w:rFonts w:hint="eastAsia" w:ascii="仿宋" w:hAnsi="仿宋" w:eastAsia="仿宋" w:cs="仿宋"/>
                <w:sz w:val="24"/>
                <w:szCs w:val="24"/>
              </w:rPr>
            </w:pP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3.负责办公单位报告的房屋零星小修（材料由园区管理方出）及费用，急修要求15分钟内到达现场查看处理，及时完成零修任务。如达中修以上应报告房屋业主单位，房屋业主单位按照规定对房屋进行维修管理。</w:t>
            </w:r>
          </w:p>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建立房屋档案和报修、维修、回访记录。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center"/>
              <w:rPr>
                <w:rFonts w:hint="eastAsia" w:ascii="仿宋" w:hAnsi="仿宋" w:eastAsia="仿宋" w:cs="仿宋"/>
                <w:sz w:val="24"/>
                <w:szCs w:val="24"/>
              </w:rPr>
            </w:pP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4.建立房屋档案和报修、维修、保养回访记录。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装饰装修</w:t>
            </w:r>
          </w:p>
        </w:tc>
        <w:tc>
          <w:tcPr>
            <w:tcW w:w="779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1.装饰装修前，物业服务机构应与装修人签订装饰装修管理协议，告知装饰装修须知，并对装饰装修过程进行监督。</w:t>
            </w:r>
          </w:p>
          <w:p>
            <w:pPr>
              <w:widowControl/>
              <w:wordWrap/>
              <w:adjustRightInd/>
              <w:snapToGrid/>
              <w:spacing w:line="240" w:lineRule="auto"/>
              <w:jc w:val="left"/>
              <w:textAlignment w:val="center"/>
              <w:rPr>
                <w:rFonts w:hint="eastAsia" w:ascii="仿宋" w:hAnsi="仿宋" w:eastAsia="仿宋" w:cs="仿宋"/>
                <w:sz w:val="24"/>
                <w:szCs w:val="24"/>
              </w:rPr>
            </w:pPr>
            <w:r>
              <w:rPr>
                <w:rFonts w:hint="eastAsia" w:ascii="仿宋" w:hAnsi="仿宋" w:eastAsia="仿宋" w:cs="仿宋"/>
                <w:kern w:val="0"/>
                <w:sz w:val="24"/>
                <w:szCs w:val="24"/>
              </w:rPr>
              <w:t>2.装修垃圾应在指定地点临时堆放，采取围挡、遮盖等措施；督促装修人在规定时间内清运。每月对项目区域内的无主建筑物、垃圾等废弃物集中清理。</w:t>
            </w:r>
          </w:p>
        </w:tc>
      </w:tr>
    </w:tbl>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5.2公用设施设备运行维护内容及要求</w:t>
      </w:r>
    </w:p>
    <w:p>
      <w:pPr>
        <w:pStyle w:val="2"/>
        <w:wordWrap/>
        <w:adjustRightInd/>
        <w:snapToGrid/>
        <w:spacing w:after="0" w:line="240" w:lineRule="auto"/>
        <w:rPr>
          <w:rFonts w:hint="eastAsia" w:ascii="仿宋" w:hAnsi="仿宋" w:eastAsia="仿宋" w:cs="仿宋"/>
          <w:lang w:val="zh-CN"/>
        </w:rPr>
      </w:pPr>
    </w:p>
    <w:tbl>
      <w:tblPr>
        <w:tblW w:w="89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6"/>
        <w:gridCol w:w="7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综合管理</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相关管理制度，如设施设备安全运行、岗位职责、设施设备定期巡检、维护保养、运行记录、维修档案等；制定相关应急预案。按有关法规、制度要求定期或不定期开展安全生产、消防安全、防汛和道路交通等检查，排查、整治各种隐患，并建立工作台账以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2.聘请有资质的专业机构和人员对公用设施设备进行全面检查、维保，确保公用设施设备运行良好，物业服务机构做好监督并进行日常管理。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8"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3.3.报修或维保中发现问题需要维修的，由物业服务机构负责（材料由园区管理方出），中修以上应向房屋业主单位报告，安排专项修理。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1"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设备机房：每半月清洁1次，机房整洁有序，室内无杂物；设有挡鼠板、鼠药盒或粘鼠板；在明显易取位置配备有符合规定的消防器材及专用工具，确保完好有效；设施设备标识标牌齐全；张贴或悬挂相关制度、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科学制定节能减排实施计划，每月5日前对物业范围的水表、电表准确无误进行抄录，并根据入驻单位水电使用情况进行分摊计量；定期或不定期巡查总水表、电表运行情况，分析水电收支测算工作报甲方，并建立工作台帐备查；原则上收入略有盈余，不能出现亏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办公系统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1.建立办公、业务、技术保障等设施设备管理制度。并建立工作台账以备检查。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2.对通用办公、会务、业务等系统设施设备，每周巡检1次，办公家具（产权归属入驻单位的除外）完整无损坏；电源插头开关牢固，数据端口无松动，线路无老化损坏；会务视频系统设施完好，音响设施完好。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8"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对运用物联网技术的监控系统、防盗报警系统、消防报警系统、门禁一卡通系统、停车库管理系统(包括寻车管理系统)等为机关运转提供安全防范措施的设施设备，每周巡查1次，检查运行状态；每月对室外物联网探头等设备表面清洁1次（极端天气及时进行排查并保持正常运行）；每月检查1次按键、显示屏等，每年内部除尘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4、保存运行记录；发现故障及时更换坏损设备，对物业服务技术人员无法修复的信息化智能办公设施设备，及时通知业主单位聘请专业机构进行维护，物业单位做好过程监督。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消防系统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1.配备完善的消防器材，定期检查消防设备，建立消防安全管理制度和突发火灾的应急处置预案。并建立工作台账以备检查。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2.协助甲方聘请有资质的专业机构，监督管理维保单位人员定期维保工作，确保整个系统处于良好的状态；消防系统应有第三方消防检测报告并通过消防部门的审查监督。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每月检查消防设备，手提式灭火器是否有效，消防水泵泵体是否漏水、生锈，各处消防水管是否漏水，各类水压压力表、信号指示灯是否正常，消防备用电源是否正常，能否及时切换。需要维修，及时编制维修计划、更新改造计划和维修资金使用计划，向采购人提出报告与建议，根据采购人的决定，组织维修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每月消防控制联动系统测试1次；消火栓放水检查1次；检测烟感、温感探测器是否正常工作；检查消防报警按钮、警铃及指示灯、消防广播系统；检查自动喷水灭火系统管道和各消防水箱、水池排水；气体灭火装置的检查测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5.每周检查1次各处消火栓、防火门、安全出口指示灯、消防疏散图、安全通道照明是否完好，水龙带、水枪是否在位，安全通道是否通畅。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给排水系统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1.建立正常供水管理制度和事故应急预案，及时解决故障，如遇供水单位限水、停水，应按规定时间通知房屋使用单位。建立的共用设施设备台帐、运行、检查、维修、保养记录齐全。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2.至少每半年对二次供水设施进行1次清洗消毒，水质符合GB 5749的要求。并取得二次供水卫生许可证；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3.每日巡检1次供水设施，设备、阀门、管道等运行正常，无跑、冒、滴、漏现象；每年养护1次水泵。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4.定期对排水管进行疏通、清污；汛期每半月检查1次抽排水设施、屋面防水和雨落管等（强降雨天气后也要检查），保证室内外排水系统通畅。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5.建立防汛预案，配备防汛物资（沙袋、雨具、照明工具等），每年至少组织1次演练。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供配电系统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配送电运行制度、电气维修制度和配电房管理制度，制定突发事件应急处理程序和临时用电管理措施，供电和维修人员应持证上岗。定期检查电气设备安全运行；电线、电缆有无老化、漏电、受潮、短路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2.建立24小时运行值班监控制度，一般故障半小时内修复，复杂故障涉及供电部门维修处置的应及时与供电部门联系，向使用单位报告；发现应急照明故障，15分钟内到达并组织维修。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对供电范围内的电气设备定期巡视维护，加强低压配电柜、配电箱、控制柜及线路的重点监测，公共使用的照明、指示灯具线路、开关应保持完好，确保用电安全；照明设备每周巡视1次，一般故障1日内修复，复杂故障1周内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4.核心部位用电建立高可控用电保障和配备应急发电设备，维护好应急发电设备(包括UPS等应急电源设备)。遇到突发停电时，立即启动应急发电机组并在10分钟内恢复供电，确保使用单位在突发情况下正常运转。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5.供配电系统应有第三方专业机构每年进行一次预防性试验。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电梯系统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电梯运行管理、设备维护、安全管理等制度，严格执行国家有关电梯管理规定和安全规程，协助甲方聘请有资质的专业机构，监督管理维保单位人员定期维保工作，做好档案管理，做到电梯准用证、年检合格证、维保合同、维保记录完备齐全。至少每年进行1次定期检验，按规范实施维修保养，每周检查2次安全状况，保障运行完好。做好设备的日常管理和巡检，发现问题及时联系专业单位进行处理并做好相关配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2.物业人员每日对电梯进行清洁消毒，保持轿厢、井道、机房整洁。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3.有电梯突发事件或事故的应急措施与救援预案，每半年演练1次。电梯出现故障，物业服务人员10分钟内到场应急处理，维保专业人员30分钟内到场进行救助和排除故障。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96"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空调系统</w:t>
            </w: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建立空调运行管理制度、应急处置预案和安全操作规程，协助甲方聘请有资质的专业机构，监督管理维保单位定期维保工作，出现空调系统出现运行故障后，工程人员和维修人员应及时到达现场维修，保证空调系统安全运行和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2.制冷、供暖系统温度设定及启用时间符合节能要求，每月对能耗进行统计、分析。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9"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3.中央空调运行前对冷水机组、循环水泵、冷却塔、风机等设施设备进行系统检查，运行期间每日巡查1次运行情况；每半年检查1次管道、阀门并除锈；每年对系统进行1次整体性维修养护，检验1次压力容器、仪表及冷却塔噪音，清洗消毒1次新风机、空气处理机滤网等；每2年清洗消毒1次风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196"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p>
        </w:tc>
        <w:tc>
          <w:tcPr>
            <w:tcW w:w="771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4.分体式空调每年清洁1次主机和室外机，每月巡查1次挂机和室外支架是否稳固，确保正常运行和安全使用。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uto"/>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简章立制</w:t>
            </w:r>
          </w:p>
        </w:tc>
        <w:tc>
          <w:tcPr>
            <w:tcW w:w="7710" w:type="dxa"/>
            <w:tcBorders>
              <w:top w:val="single" w:color="000000" w:sz="4" w:space="0"/>
              <w:left w:val="single" w:color="000000" w:sz="4" w:space="0"/>
              <w:bottom w:val="single" w:color="000000" w:sz="4" w:space="0"/>
              <w:right w:val="single" w:color="000000" w:sz="4" w:space="0"/>
            </w:tcBorders>
            <w:vAlign w:val="center"/>
          </w:tcPr>
          <w:p>
            <w:pPr>
              <w:pStyle w:val="9"/>
              <w:wordWrap/>
              <w:adjustRightInd/>
              <w:snapToGrid/>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接管项目后2个月内完成附件3目录，快速建立管理标准并在岗位上导入体系运行。</w:t>
            </w:r>
          </w:p>
        </w:tc>
      </w:tr>
    </w:tbl>
    <w:p>
      <w:pPr>
        <w:widowControl/>
        <w:wordWrap/>
        <w:adjustRightInd/>
        <w:snapToGrid/>
        <w:spacing w:line="240" w:lineRule="auto"/>
        <w:ind w:firstLine="560" w:firstLineChars="200"/>
        <w:jc w:val="left"/>
        <w:textAlignment w:val="center"/>
        <w:rPr>
          <w:rFonts w:hint="eastAsia" w:ascii="仿宋" w:hAnsi="仿宋" w:eastAsia="仿宋" w:cs="仿宋"/>
          <w:kern w:val="0"/>
          <w:sz w:val="28"/>
          <w:szCs w:val="28"/>
          <w:lang w:val="zh-CN"/>
        </w:rPr>
      </w:pPr>
    </w:p>
    <w:p>
      <w:pPr>
        <w:widowControl/>
        <w:wordWrap/>
        <w:adjustRightInd/>
        <w:snapToGrid/>
        <w:spacing w:line="240" w:lineRule="auto"/>
        <w:ind w:firstLine="560" w:firstLineChars="200"/>
        <w:jc w:val="left"/>
        <w:textAlignment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w:t>
      </w:r>
      <w:r>
        <w:rPr>
          <w:rFonts w:hint="eastAsia" w:ascii="仿宋" w:hAnsi="仿宋" w:eastAsia="仿宋" w:cs="仿宋"/>
          <w:kern w:val="0"/>
          <w:sz w:val="28"/>
          <w:szCs w:val="28"/>
        </w:rPr>
        <w:t>3</w:t>
      </w:r>
      <w:r>
        <w:rPr>
          <w:rFonts w:hint="eastAsia" w:ascii="仿宋" w:hAnsi="仿宋" w:eastAsia="仿宋" w:cs="仿宋"/>
          <w:kern w:val="0"/>
          <w:sz w:val="28"/>
          <w:szCs w:val="28"/>
          <w:lang w:val="zh-CN"/>
        </w:rPr>
        <w:t xml:space="preserve"> 设施设备运行良好，完好率达≥95％。</w:t>
      </w:r>
    </w:p>
    <w:p>
      <w:pPr>
        <w:widowControl/>
        <w:wordWrap/>
        <w:adjustRightInd/>
        <w:snapToGrid/>
        <w:spacing w:line="240" w:lineRule="auto"/>
        <w:ind w:firstLine="560" w:firstLineChars="200"/>
        <w:jc w:val="left"/>
        <w:textAlignment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w:t>
      </w:r>
      <w:r>
        <w:rPr>
          <w:rFonts w:hint="eastAsia" w:ascii="仿宋" w:hAnsi="仿宋" w:eastAsia="仿宋" w:cs="仿宋"/>
          <w:kern w:val="0"/>
          <w:sz w:val="28"/>
          <w:szCs w:val="28"/>
        </w:rPr>
        <w:t>4</w:t>
      </w:r>
      <w:r>
        <w:rPr>
          <w:rFonts w:hint="eastAsia" w:ascii="仿宋" w:hAnsi="仿宋" w:eastAsia="仿宋" w:cs="仿宋"/>
          <w:kern w:val="0"/>
          <w:sz w:val="28"/>
          <w:szCs w:val="28"/>
          <w:lang w:val="zh-CN"/>
        </w:rPr>
        <w:t>维修工程质量合格率及回访率100%。</w:t>
      </w:r>
    </w:p>
    <w:p>
      <w:pPr>
        <w:widowControl/>
        <w:wordWrap/>
        <w:adjustRightInd/>
        <w:snapToGrid/>
        <w:spacing w:line="240" w:lineRule="auto"/>
        <w:ind w:firstLine="560" w:firstLineChars="200"/>
        <w:jc w:val="left"/>
        <w:textAlignment w:val="center"/>
        <w:rPr>
          <w:rFonts w:hint="eastAsia" w:ascii="仿宋" w:hAnsi="仿宋" w:eastAsia="仿宋" w:cs="仿宋"/>
          <w:sz w:val="28"/>
          <w:szCs w:val="28"/>
          <w:lang w:val="zh-CN"/>
        </w:rPr>
      </w:pPr>
      <w:r>
        <w:rPr>
          <w:rFonts w:hint="eastAsia" w:ascii="仿宋" w:hAnsi="仿宋" w:eastAsia="仿宋" w:cs="仿宋"/>
          <w:kern w:val="0"/>
          <w:sz w:val="28"/>
          <w:szCs w:val="28"/>
          <w:lang w:val="zh-CN"/>
        </w:rPr>
        <w:t>5.</w:t>
      </w:r>
      <w:r>
        <w:rPr>
          <w:rFonts w:hint="eastAsia" w:ascii="仿宋" w:hAnsi="仿宋" w:eastAsia="仿宋" w:cs="仿宋"/>
          <w:kern w:val="0"/>
          <w:sz w:val="28"/>
          <w:szCs w:val="28"/>
        </w:rPr>
        <w:t>5</w:t>
      </w:r>
      <w:r>
        <w:rPr>
          <w:rFonts w:hint="eastAsia" w:ascii="仿宋" w:hAnsi="仿宋" w:eastAsia="仿宋" w:cs="仿宋"/>
          <w:kern w:val="0"/>
          <w:sz w:val="28"/>
          <w:szCs w:val="28"/>
          <w:lang w:val="zh-CN"/>
        </w:rPr>
        <w:t>服务对象满意率达90%以上。</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第六条  双方权利义务</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6.1甲方权利义务</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6.1.1按时向乙方支付委托物业</w:t>
      </w:r>
      <w:r>
        <w:rPr>
          <w:rFonts w:hint="eastAsia" w:ascii="仿宋" w:hAnsi="仿宋" w:eastAsia="仿宋" w:cs="仿宋"/>
          <w:sz w:val="28"/>
          <w:szCs w:val="28"/>
        </w:rPr>
        <w:t>工程维保</w:t>
      </w:r>
      <w:r>
        <w:rPr>
          <w:rFonts w:hint="eastAsia" w:ascii="仿宋" w:hAnsi="仿宋" w:eastAsia="仿宋" w:cs="仿宋"/>
          <w:sz w:val="28"/>
          <w:szCs w:val="28"/>
          <w:lang w:val="zh-CN"/>
        </w:rPr>
        <w:t>服务费用。</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6.1.2审定乙方制定的</w:t>
      </w:r>
      <w:r>
        <w:rPr>
          <w:rFonts w:hint="eastAsia" w:ascii="仿宋" w:hAnsi="仿宋" w:eastAsia="仿宋" w:cs="仿宋"/>
          <w:sz w:val="28"/>
          <w:szCs w:val="28"/>
        </w:rPr>
        <w:t>工程维保</w:t>
      </w:r>
      <w:r>
        <w:rPr>
          <w:rFonts w:hint="eastAsia" w:ascii="仿宋" w:hAnsi="仿宋" w:eastAsia="仿宋" w:cs="仿宋"/>
          <w:sz w:val="28"/>
          <w:szCs w:val="28"/>
          <w:lang w:val="zh-CN"/>
        </w:rPr>
        <w:t>管理服务工作计划，监督、检查工作计划的实施情况。</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6.1.3根据《</w:t>
      </w:r>
      <w:r>
        <w:rPr>
          <w:rFonts w:hint="eastAsia" w:ascii="仿宋" w:hAnsi="仿宋" w:eastAsia="仿宋" w:cs="仿宋"/>
          <w:sz w:val="28"/>
          <w:szCs w:val="28"/>
        </w:rPr>
        <w:t>工程维保</w:t>
      </w:r>
      <w:r>
        <w:rPr>
          <w:rFonts w:hint="eastAsia" w:ascii="仿宋" w:hAnsi="仿宋" w:eastAsia="仿宋" w:cs="仿宋"/>
          <w:sz w:val="28"/>
          <w:szCs w:val="28"/>
          <w:lang w:val="zh-CN"/>
        </w:rPr>
        <w:t>管理服务考核评分细则》（附件1）的考评内容与标准对乙方提供的</w:t>
      </w:r>
      <w:r>
        <w:rPr>
          <w:rFonts w:hint="eastAsia" w:ascii="仿宋" w:hAnsi="仿宋" w:eastAsia="仿宋" w:cs="仿宋"/>
          <w:sz w:val="28"/>
          <w:szCs w:val="28"/>
        </w:rPr>
        <w:t>工程维保</w:t>
      </w:r>
      <w:r>
        <w:rPr>
          <w:rFonts w:hint="eastAsia" w:ascii="仿宋" w:hAnsi="仿宋" w:eastAsia="仿宋" w:cs="仿宋"/>
          <w:sz w:val="28"/>
          <w:szCs w:val="28"/>
          <w:lang w:val="zh-CN"/>
        </w:rPr>
        <w:t>管理服务进行监督、检查、考核。</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w:t>
      </w:r>
      <w:r>
        <w:rPr>
          <w:rFonts w:hint="eastAsia" w:ascii="仿宋" w:hAnsi="仿宋" w:eastAsia="仿宋" w:cs="仿宋"/>
          <w:sz w:val="28"/>
          <w:szCs w:val="28"/>
        </w:rPr>
        <w:t>4</w:t>
      </w:r>
      <w:r>
        <w:rPr>
          <w:rFonts w:hint="eastAsia" w:ascii="仿宋" w:hAnsi="仿宋" w:eastAsia="仿宋" w:cs="仿宋"/>
          <w:sz w:val="28"/>
          <w:szCs w:val="28"/>
          <w:lang w:val="zh-CN"/>
        </w:rPr>
        <w:t>甲方有权要求乙方调整不符合要求的</w:t>
      </w:r>
      <w:r>
        <w:rPr>
          <w:rFonts w:hint="eastAsia" w:ascii="仿宋" w:hAnsi="仿宋" w:eastAsia="仿宋" w:cs="仿宋"/>
          <w:sz w:val="28"/>
          <w:szCs w:val="28"/>
        </w:rPr>
        <w:t>工程维保</w:t>
      </w:r>
      <w:r>
        <w:rPr>
          <w:rFonts w:hint="eastAsia" w:ascii="仿宋" w:hAnsi="仿宋" w:eastAsia="仿宋" w:cs="仿宋"/>
          <w:sz w:val="28"/>
          <w:szCs w:val="28"/>
          <w:lang w:val="zh-CN"/>
        </w:rPr>
        <w:t>工作人员，乙方应在甲方提出之日起5个工作日内完成调整。</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w:t>
      </w:r>
      <w:r>
        <w:rPr>
          <w:rFonts w:hint="eastAsia" w:ascii="仿宋" w:hAnsi="仿宋" w:eastAsia="仿宋" w:cs="仿宋"/>
          <w:sz w:val="28"/>
          <w:szCs w:val="28"/>
        </w:rPr>
        <w:t>5</w:t>
      </w:r>
      <w:r>
        <w:rPr>
          <w:rFonts w:hint="eastAsia" w:ascii="仿宋" w:hAnsi="仿宋" w:eastAsia="仿宋" w:cs="仿宋"/>
          <w:sz w:val="28"/>
          <w:szCs w:val="28"/>
          <w:lang w:val="zh-CN"/>
        </w:rPr>
        <w:t>乙方配置的</w:t>
      </w:r>
      <w:r>
        <w:rPr>
          <w:rFonts w:hint="eastAsia" w:ascii="仿宋" w:hAnsi="仿宋" w:eastAsia="仿宋" w:cs="仿宋"/>
          <w:sz w:val="28"/>
          <w:szCs w:val="28"/>
        </w:rPr>
        <w:t>工程维保</w:t>
      </w:r>
      <w:r>
        <w:rPr>
          <w:rFonts w:hint="eastAsia" w:ascii="仿宋" w:hAnsi="仿宋" w:eastAsia="仿宋" w:cs="仿宋"/>
          <w:sz w:val="28"/>
          <w:szCs w:val="28"/>
          <w:lang w:val="zh-CN"/>
        </w:rPr>
        <w:t>工作人员，甲方不承担社会保险等有关保险的办理责任。非因甲方过错的，甲方不承担</w:t>
      </w:r>
      <w:r>
        <w:rPr>
          <w:rFonts w:hint="eastAsia" w:ascii="仿宋" w:hAnsi="仿宋" w:eastAsia="仿宋" w:cs="仿宋"/>
          <w:sz w:val="28"/>
          <w:szCs w:val="28"/>
        </w:rPr>
        <w:t>工程维保</w:t>
      </w:r>
      <w:r>
        <w:rPr>
          <w:rFonts w:hint="eastAsia" w:ascii="仿宋" w:hAnsi="仿宋" w:eastAsia="仿宋" w:cs="仿宋"/>
          <w:sz w:val="28"/>
          <w:szCs w:val="28"/>
          <w:lang w:val="zh-CN"/>
        </w:rPr>
        <w:t>工作人员因发生安全事故而产生的人身损害赔偿、财产赔偿等责任。</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6.1.</w:t>
      </w:r>
      <w:r>
        <w:rPr>
          <w:rFonts w:hint="eastAsia" w:ascii="仿宋" w:hAnsi="仿宋" w:eastAsia="仿宋" w:cs="仿宋"/>
          <w:sz w:val="28"/>
          <w:szCs w:val="28"/>
        </w:rPr>
        <w:t>6</w:t>
      </w:r>
      <w:r>
        <w:rPr>
          <w:rFonts w:hint="eastAsia" w:ascii="仿宋" w:hAnsi="仿宋" w:eastAsia="仿宋" w:cs="仿宋"/>
          <w:sz w:val="28"/>
          <w:szCs w:val="28"/>
          <w:lang w:val="zh-CN"/>
        </w:rPr>
        <w:t>电梯、消防、供电供水等</w:t>
      </w:r>
      <w:r>
        <w:rPr>
          <w:rFonts w:hint="eastAsia" w:ascii="仿宋" w:hAnsi="仿宋" w:eastAsia="仿宋" w:cs="仿宋"/>
          <w:sz w:val="28"/>
          <w:szCs w:val="28"/>
        </w:rPr>
        <w:t>第三方</w:t>
      </w:r>
      <w:r>
        <w:rPr>
          <w:rFonts w:hint="eastAsia" w:ascii="仿宋" w:hAnsi="仿宋" w:eastAsia="仿宋" w:cs="仿宋"/>
          <w:sz w:val="28"/>
          <w:szCs w:val="28"/>
          <w:lang w:val="zh-CN"/>
        </w:rPr>
        <w:t>设施</w:t>
      </w:r>
      <w:r>
        <w:rPr>
          <w:rFonts w:hint="eastAsia" w:ascii="仿宋" w:hAnsi="仿宋" w:eastAsia="仿宋" w:cs="仿宋"/>
          <w:sz w:val="28"/>
          <w:szCs w:val="28"/>
        </w:rPr>
        <w:t>设备</w:t>
      </w:r>
      <w:r>
        <w:rPr>
          <w:rFonts w:hint="eastAsia" w:ascii="仿宋" w:hAnsi="仿宋" w:eastAsia="仿宋" w:cs="仿宋"/>
          <w:sz w:val="28"/>
          <w:szCs w:val="28"/>
          <w:lang w:val="zh-CN"/>
        </w:rPr>
        <w:t>的维修保养由甲方聘请专业单位负责维保，费用由业主方支付。</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6.2乙方权利义务</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6.2.1负责制定</w:t>
      </w:r>
      <w:r>
        <w:rPr>
          <w:rFonts w:hint="eastAsia" w:ascii="仿宋" w:hAnsi="仿宋" w:eastAsia="仿宋" w:cs="仿宋"/>
          <w:sz w:val="28"/>
          <w:szCs w:val="28"/>
        </w:rPr>
        <w:t>工程维保</w:t>
      </w:r>
      <w:r>
        <w:rPr>
          <w:rFonts w:hint="eastAsia" w:ascii="仿宋" w:hAnsi="仿宋" w:eastAsia="仿宋" w:cs="仿宋"/>
          <w:sz w:val="28"/>
          <w:szCs w:val="28"/>
          <w:lang w:val="zh-CN"/>
        </w:rPr>
        <w:t>管理服务年度工作计划，并组织检查监督实施；按合同约定提供优质</w:t>
      </w:r>
      <w:r>
        <w:rPr>
          <w:rFonts w:hint="eastAsia" w:ascii="仿宋" w:hAnsi="仿宋" w:eastAsia="仿宋" w:cs="仿宋"/>
          <w:sz w:val="28"/>
          <w:szCs w:val="28"/>
        </w:rPr>
        <w:t>工程维保</w:t>
      </w:r>
      <w:r>
        <w:rPr>
          <w:rFonts w:hint="eastAsia" w:ascii="仿宋" w:hAnsi="仿宋" w:eastAsia="仿宋" w:cs="仿宋"/>
          <w:sz w:val="28"/>
          <w:szCs w:val="28"/>
          <w:lang w:val="zh-CN"/>
        </w:rPr>
        <w:t>管理服务，自行承担按合同要求范围内的</w:t>
      </w:r>
      <w:r>
        <w:rPr>
          <w:rFonts w:hint="eastAsia" w:ascii="仿宋" w:hAnsi="仿宋" w:eastAsia="仿宋" w:cs="仿宋"/>
          <w:sz w:val="28"/>
          <w:szCs w:val="28"/>
        </w:rPr>
        <w:t>工程维保</w:t>
      </w:r>
      <w:r>
        <w:rPr>
          <w:rFonts w:hint="eastAsia" w:ascii="仿宋" w:hAnsi="仿宋" w:eastAsia="仿宋" w:cs="仿宋"/>
          <w:sz w:val="28"/>
          <w:szCs w:val="28"/>
          <w:lang w:val="zh-CN"/>
        </w:rPr>
        <w:t>管理服务所产生的一切责任（包括但不限于安全生产管理责任、消防安全责任等），如因此造成甲方损失（包括但不限于行政处罚，停产停业损失，第三人向甲方主张赔偿而产生的损失，甲方维权而产生的诉讼费、律师费、诉讼财产保全费、诉讼财产保全保险费、评估鉴定费）的，乙方予以赔偿。</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2</w:t>
      </w:r>
      <w:r>
        <w:rPr>
          <w:rFonts w:hint="eastAsia" w:ascii="仿宋" w:hAnsi="仿宋" w:eastAsia="仿宋" w:cs="仿宋"/>
          <w:sz w:val="28"/>
          <w:szCs w:val="28"/>
          <w:lang w:val="zh-CN"/>
        </w:rPr>
        <w:t>有权要求甲方和服务对象协助配合乙方的管理服务工作；物业区域范围内的服务对象违反管理规定的，乙方有权给予批评、劝阻、制止。</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3</w:t>
      </w:r>
      <w:r>
        <w:rPr>
          <w:rFonts w:hint="eastAsia" w:ascii="仿宋" w:hAnsi="仿宋" w:eastAsia="仿宋" w:cs="仿宋"/>
          <w:sz w:val="28"/>
          <w:szCs w:val="28"/>
          <w:lang w:val="zh-CN"/>
        </w:rPr>
        <w:t>不得擅自将物业服务工作整体转包或分包给第三方实施。</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4</w:t>
      </w:r>
      <w:r>
        <w:rPr>
          <w:rFonts w:hint="eastAsia" w:ascii="仿宋" w:hAnsi="仿宋" w:eastAsia="仿宋" w:cs="仿宋"/>
          <w:sz w:val="28"/>
          <w:szCs w:val="28"/>
          <w:lang w:val="zh-CN"/>
        </w:rPr>
        <w:t>根据《物业管理服务考核评分细则》（附件2）的考评内容与标准，接受甲方的考核。</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5</w:t>
      </w:r>
      <w:r>
        <w:rPr>
          <w:rFonts w:hint="eastAsia" w:ascii="仿宋" w:hAnsi="仿宋" w:eastAsia="仿宋" w:cs="仿宋"/>
          <w:sz w:val="28"/>
          <w:szCs w:val="28"/>
          <w:lang w:val="zh-CN"/>
        </w:rPr>
        <w:t>每月协助甲方对委托物业区域范围内的水电用量抄录工作。</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6</w:t>
      </w:r>
      <w:r>
        <w:rPr>
          <w:rFonts w:hint="eastAsia" w:ascii="仿宋" w:hAnsi="仿宋" w:eastAsia="仿宋" w:cs="仿宋"/>
          <w:sz w:val="28"/>
          <w:szCs w:val="28"/>
          <w:lang w:val="zh-CN"/>
        </w:rPr>
        <w:t>聘用的从业人员应具备相应资质要求（如电工要求有电工证），具备一定的安全知识并掌握基本的消防技能，人员经培训合格才能安排上岗。</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7</w:t>
      </w:r>
      <w:r>
        <w:rPr>
          <w:rFonts w:hint="eastAsia" w:ascii="仿宋" w:hAnsi="仿宋" w:eastAsia="仿宋" w:cs="仿宋"/>
          <w:sz w:val="28"/>
          <w:szCs w:val="28"/>
          <w:lang w:val="zh-CN"/>
        </w:rPr>
        <w:t xml:space="preserve"> 按照周、月、季度计划开展检修和维保工作。每月协助甲方对委托物业区域范围内的水电用量抄录工作。</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6.2.</w:t>
      </w:r>
      <w:r>
        <w:rPr>
          <w:rFonts w:hint="eastAsia" w:ascii="仿宋" w:hAnsi="仿宋" w:eastAsia="仿宋" w:cs="仿宋"/>
          <w:sz w:val="28"/>
          <w:szCs w:val="28"/>
        </w:rPr>
        <w:t>8</w:t>
      </w:r>
      <w:r>
        <w:rPr>
          <w:rFonts w:hint="eastAsia" w:ascii="仿宋" w:hAnsi="仿宋" w:eastAsia="仿宋" w:cs="仿宋"/>
          <w:sz w:val="28"/>
          <w:szCs w:val="28"/>
          <w:lang w:val="zh-CN"/>
        </w:rPr>
        <w:t>严格遵守劳动法等相关法律法规合法用工，应与劳动者签订劳动合同，保证支付给劳动者的劳动报酬不得低于南宁市最低收入标准，与劳动者解除劳动关系的，按照劳动法律法规的规定和程序执行。若乙方违反相关法律法规，使用和解聘劳动者不符合法律法规的规定和程序而引起的一切纠纷均由乙方负责解决并承担责任与费用。因乙方行为给甲方带来损失（包括但不限于行政处罚，停产停业损失，第三人向甲方主张赔偿而产生的损失，甲方维权而产生的诉讼费、律师费、诉讼财产保全费、诉讼财产保全保险费、评估鉴定费等）的，由乙方负责赔偿，同时甲方有权解除本合同，乙方应向甲方承担已发生服务费总额10%的违约金。</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第七条 合同变更、解除和终止</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7.1甲、乙双方均不得提前解除本合同，但出现下列情形之一的，可以提前解除合同：</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7.1.1物业项目被行政机关拆迁、征收的（</w:t>
      </w:r>
      <w:r>
        <w:rPr>
          <w:rFonts w:hint="eastAsia" w:ascii="仿宋" w:hAnsi="仿宋" w:eastAsia="仿宋" w:cs="仿宋"/>
          <w:sz w:val="28"/>
          <w:szCs w:val="28"/>
        </w:rPr>
        <w:t>双方无需承担违约责任</w:t>
      </w:r>
      <w:r>
        <w:rPr>
          <w:rFonts w:hint="eastAsia" w:ascii="仿宋" w:hAnsi="仿宋" w:eastAsia="仿宋" w:cs="仿宋"/>
          <w:sz w:val="28"/>
          <w:szCs w:val="28"/>
          <w:lang w:val="zh-CN"/>
        </w:rPr>
        <w:t>）。</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7.1.2因不可抗力致使本合同无法正常履行超过30日的（</w:t>
      </w:r>
      <w:r>
        <w:rPr>
          <w:rFonts w:hint="eastAsia" w:ascii="仿宋" w:hAnsi="仿宋" w:eastAsia="仿宋" w:cs="仿宋"/>
          <w:sz w:val="28"/>
          <w:szCs w:val="28"/>
        </w:rPr>
        <w:t>双方无需承担违约责任</w:t>
      </w:r>
      <w:r>
        <w:rPr>
          <w:rFonts w:hint="eastAsia" w:ascii="仿宋" w:hAnsi="仿宋" w:eastAsia="仿宋" w:cs="仿宋"/>
          <w:sz w:val="28"/>
          <w:szCs w:val="28"/>
          <w:lang w:val="zh-CN"/>
        </w:rPr>
        <w:t>）。</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7.1.3乙方严重违反本合同约定，不按合同履行义务，提供的</w:t>
      </w:r>
      <w:r>
        <w:rPr>
          <w:rFonts w:hint="eastAsia" w:ascii="仿宋" w:hAnsi="仿宋" w:eastAsia="仿宋" w:cs="仿宋"/>
          <w:sz w:val="28"/>
          <w:szCs w:val="28"/>
        </w:rPr>
        <w:t>工程维保</w:t>
      </w:r>
      <w:r>
        <w:rPr>
          <w:rFonts w:hint="eastAsia" w:ascii="仿宋" w:hAnsi="仿宋" w:eastAsia="仿宋" w:cs="仿宋"/>
          <w:sz w:val="28"/>
          <w:szCs w:val="28"/>
          <w:lang w:val="zh-CN"/>
        </w:rPr>
        <w:t>服务不达到本合同附件2、附件3考核相关要求的：如该月考核分≥90分，则全额支付该月委托服务费；如该月考核分＜90分且月考核分≥85分的，按每少1分扣除当月该</w:t>
      </w:r>
      <w:r>
        <w:rPr>
          <w:rFonts w:hint="eastAsia" w:ascii="仿宋" w:hAnsi="仿宋" w:eastAsia="仿宋" w:cs="仿宋"/>
          <w:sz w:val="28"/>
          <w:szCs w:val="28"/>
        </w:rPr>
        <w:t>工程维保</w:t>
      </w:r>
      <w:r>
        <w:rPr>
          <w:rFonts w:hint="eastAsia" w:ascii="仿宋" w:hAnsi="仿宋" w:eastAsia="仿宋" w:cs="仿宋"/>
          <w:sz w:val="28"/>
          <w:szCs w:val="28"/>
          <w:lang w:val="zh-CN"/>
        </w:rPr>
        <w:t>委托服务费总额的1.0%；如该月考核分＜85分的，除了对少于90分部分按前款扣减委托服务费外，另对少于85分部分按每少1分扣除当月该</w:t>
      </w:r>
      <w:r>
        <w:rPr>
          <w:rFonts w:hint="eastAsia" w:ascii="仿宋" w:hAnsi="仿宋" w:eastAsia="仿宋" w:cs="仿宋"/>
          <w:sz w:val="28"/>
          <w:szCs w:val="28"/>
        </w:rPr>
        <w:t>工程维保</w:t>
      </w:r>
      <w:r>
        <w:rPr>
          <w:rFonts w:hint="eastAsia" w:ascii="仿宋" w:hAnsi="仿宋" w:eastAsia="仿宋" w:cs="仿宋"/>
          <w:sz w:val="28"/>
          <w:szCs w:val="28"/>
          <w:lang w:val="zh-CN"/>
        </w:rPr>
        <w:t>委托服务费总额的2.0%。合同履行期间，若出现连续2 个月考核分＜90分或在连续12个月周期中出现累计三个月考核分＜85分的，甲方单方解除本合同。合同履行期间，因乙方未正确履行责任而造成财物、人身重大损害或发生重大安全责任事故的，当月考核直接评定为不合格，对应</w:t>
      </w:r>
      <w:r>
        <w:rPr>
          <w:rFonts w:hint="eastAsia" w:ascii="仿宋" w:hAnsi="仿宋" w:eastAsia="仿宋" w:cs="仿宋"/>
          <w:sz w:val="28"/>
          <w:szCs w:val="28"/>
        </w:rPr>
        <w:t>工程维保</w:t>
      </w:r>
      <w:r>
        <w:rPr>
          <w:rFonts w:hint="eastAsia" w:ascii="仿宋" w:hAnsi="仿宋" w:eastAsia="仿宋" w:cs="仿宋"/>
          <w:sz w:val="28"/>
          <w:szCs w:val="28"/>
          <w:lang w:val="zh-CN"/>
        </w:rPr>
        <w:t>的委托服务费视情况按20-100%比例扣减该物业点的委托服务费。性质恶劣的，甲方有权单方解除本合同，乙方应向甲方承担已发生服务费总额10%的违约金；违约金不足以弥补甲方损失的，乙方应继续补足赔偿。</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7.2</w:t>
      </w:r>
      <w:r>
        <w:rPr>
          <w:rFonts w:hint="eastAsia" w:ascii="仿宋" w:hAnsi="仿宋" w:eastAsia="仿宋" w:cs="仿宋"/>
          <w:sz w:val="28"/>
          <w:szCs w:val="28"/>
        </w:rPr>
        <w:t>如甲方在本合同期内因任何原因退出该园区的物业服务管理的，则甲方有权单方终止本合同，甲方无需向乙方承担任何赔偿或补偿责任。甲方应提前30日</w:t>
      </w:r>
      <w:r>
        <w:rPr>
          <w:rFonts w:hint="eastAsia" w:ascii="仿宋" w:hAnsi="仿宋" w:eastAsia="仿宋" w:cs="仿宋"/>
          <w:sz w:val="28"/>
          <w:szCs w:val="28"/>
          <w:lang w:val="zh-CN"/>
        </w:rPr>
        <w:t>书面通知乙方，自书面通知寄送之日</w:t>
      </w:r>
      <w:r>
        <w:rPr>
          <w:rFonts w:hint="eastAsia" w:ascii="仿宋" w:hAnsi="仿宋" w:eastAsia="仿宋" w:cs="仿宋"/>
          <w:sz w:val="28"/>
          <w:szCs w:val="28"/>
        </w:rPr>
        <w:t>10日内合同即告解除。</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7.3合同期满本合同自行终止，合同执行期间若双方签订补充协议，补充协议条文与本合同具有同等法律效力。</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第八条　违约责任</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8.1 因甲方行为违约导致乙方未能完成</w:t>
      </w:r>
      <w:r>
        <w:rPr>
          <w:rFonts w:hint="eastAsia" w:ascii="仿宋" w:hAnsi="仿宋" w:eastAsia="仿宋" w:cs="仿宋"/>
          <w:sz w:val="28"/>
          <w:szCs w:val="28"/>
        </w:rPr>
        <w:t>工程维保</w:t>
      </w:r>
      <w:r>
        <w:rPr>
          <w:rFonts w:hint="eastAsia" w:ascii="仿宋" w:hAnsi="仿宋" w:eastAsia="仿宋" w:cs="仿宋"/>
          <w:sz w:val="28"/>
          <w:szCs w:val="28"/>
          <w:lang w:val="zh-CN"/>
        </w:rPr>
        <w:t>服务项目，乙方有权要求甲方在一定期限内解决，逾期不解决的，乙方有权解除本合同，甲方向乙方承担已发生服务费总额10%的违约金；违约金不足以弥补乙方损失的，甲方继续补足赔偿。</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8.2合同履行期间，若当月考核分小于90分或在连续12个月周期中出现累计二个月考核分小于85分的，甲方有权要求乙方限时整改，整改期为一个月，整改后甲方考核仍然未达到85分的，甲方有权单方解除本合同，自合同解除通知书送达乙方日起即告解除，乙方应向甲方承担已发生服务费总额10%的违约金；违约金不足以弥补甲方损失（包括但不限于行政处罚，停产停业损失，第三人向甲方主张赔偿而产生的损失，甲方维权而产生的诉讼费、律师费、诉讼财产保全费、诉讼财产保全保险费、评估鉴定费等）的，乙方应继续补足赔偿。</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8.3合同履行期间，因乙方未正确履行</w:t>
      </w:r>
      <w:r>
        <w:rPr>
          <w:rFonts w:hint="eastAsia" w:ascii="仿宋" w:hAnsi="仿宋" w:eastAsia="仿宋" w:cs="仿宋"/>
          <w:sz w:val="28"/>
          <w:szCs w:val="28"/>
        </w:rPr>
        <w:t>工程维保</w:t>
      </w:r>
      <w:r>
        <w:rPr>
          <w:rFonts w:hint="eastAsia" w:ascii="仿宋" w:hAnsi="仿宋" w:eastAsia="仿宋" w:cs="仿宋"/>
          <w:sz w:val="28"/>
          <w:szCs w:val="28"/>
          <w:lang w:val="zh-CN"/>
        </w:rPr>
        <w:t>管理服务责任而造成甲方重大财物、人身损害或发生重大安全责任事故的，当月考核直接评定为不合格，对应物业点的委托服务费视情况按50%比例扣减该物业点当月的委托服务费。性质恶劣的，甲方有权单方解除本合同，自合同解除通知书送达乙方日起即告解除，乙方应向甲方承担已发生服务费总额10%的违约金；违约金不足以弥补甲方损失（包括但不限于行政处罚，停产停业损失，第三人向甲方主张赔偿而产生的损失，甲方维权而产生的诉讼费、律师费、诉讼财产保全费、诉讼财产保全保险费、评估鉴定费等）的，乙方应继续补足赔偿。</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8.4合同履行期间，因乙方未正确履行</w:t>
      </w:r>
      <w:r>
        <w:rPr>
          <w:rFonts w:hint="eastAsia" w:ascii="仿宋" w:hAnsi="仿宋" w:eastAsia="仿宋" w:cs="仿宋"/>
          <w:sz w:val="28"/>
          <w:szCs w:val="28"/>
        </w:rPr>
        <w:t>工程维保</w:t>
      </w:r>
      <w:r>
        <w:rPr>
          <w:rFonts w:hint="eastAsia" w:ascii="仿宋" w:hAnsi="仿宋" w:eastAsia="仿宋" w:cs="仿宋"/>
          <w:sz w:val="28"/>
          <w:szCs w:val="28"/>
          <w:lang w:val="zh-CN"/>
        </w:rPr>
        <w:t>管理服务责任致使甲方被工商、城市管理等部门责令整改的，且乙方未能在规定期限内完成整改的，甲方有权单方解除本合同，自合同解除通知书送达乙方日起即告解除，乙方应向甲方承担已发生服务费总额10%的违约金；违约金不足以弥补甲方损失（包括但不限于行政处罚，停产停业损失，第三人向甲方主张赔偿而产生的损失，甲方维权而产生的诉讼费、律师费、诉讼财产保全费、诉讼财产保全保险费、评估鉴定费等）的，乙方应继续补足赔偿。</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8.5合同履行期间，乙方违反本合同其他约定的，</w:t>
      </w:r>
      <w:r>
        <w:rPr>
          <w:rFonts w:hint="eastAsia" w:ascii="仿宋" w:hAnsi="仿宋" w:eastAsia="仿宋" w:cs="仿宋"/>
          <w:sz w:val="28"/>
          <w:szCs w:val="28"/>
          <w:lang w:val="zh-CN"/>
        </w:rPr>
        <w:t>甲方有权要求乙方限时整改，整改期为</w:t>
      </w:r>
      <w:r>
        <w:rPr>
          <w:rFonts w:hint="eastAsia" w:ascii="仿宋" w:hAnsi="仿宋" w:eastAsia="仿宋" w:cs="仿宋"/>
          <w:sz w:val="28"/>
          <w:szCs w:val="28"/>
        </w:rPr>
        <w:t>15</w:t>
      </w:r>
      <w:r>
        <w:rPr>
          <w:rFonts w:hint="eastAsia" w:ascii="仿宋" w:hAnsi="仿宋" w:eastAsia="仿宋" w:cs="仿宋"/>
          <w:sz w:val="28"/>
          <w:szCs w:val="28"/>
          <w:lang w:val="zh-CN"/>
        </w:rPr>
        <w:t>日。乙方拒不整改合格的，甲方有权单方解除本合同，自合同解除通知书送达乙方日起即告解除，乙方应向甲方承担已发生服务费总额10%的违约金；违约金不足以弥补甲方损失（包括但不限于行政处罚，停产停业损失，第三人向甲方主张赔偿而产生的损失，甲方维权而产生的诉讼费、律师费、诉讼财产保全费、诉讼财产保全保险费、评估鉴定费等）的，乙方应继续补足赔偿。</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8.6合同解除后5日内，乙方应要求服务人员撤离服务现场并将工具房及未使用完的设备、材料（甲方付款部分）交还给甲方。每逾期1日，乙方应按人民币200元的标准向甲方支付违约金。</w:t>
      </w:r>
    </w:p>
    <w:p>
      <w:pPr>
        <w:wordWrap/>
        <w:adjustRightInd/>
        <w:snapToGrid/>
        <w:spacing w:line="240" w:lineRule="auto"/>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第九条　其他</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9.1 本合同在履行中如发生争议，双方应协商解决，协商不成的，通过诉讼方式解决，诉讼管辖法院：甲方</w:t>
      </w:r>
      <w:r>
        <w:rPr>
          <w:rFonts w:hint="eastAsia" w:ascii="仿宋" w:hAnsi="仿宋" w:eastAsia="仿宋" w:cs="仿宋"/>
          <w:sz w:val="28"/>
          <w:szCs w:val="28"/>
        </w:rPr>
        <w:t>所在地</w:t>
      </w:r>
      <w:r>
        <w:rPr>
          <w:rFonts w:hint="eastAsia" w:ascii="仿宋" w:hAnsi="仿宋" w:eastAsia="仿宋" w:cs="仿宋"/>
          <w:sz w:val="28"/>
          <w:szCs w:val="28"/>
          <w:lang w:val="zh-CN"/>
        </w:rPr>
        <w:t>人民法院。因诉讼产生的诉讼费、律师费、诉讼财产保全费、诉讼财产保全保险费、评估鉴定费等均由败诉方承担。</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9.2本合同一式四份，双方各执两份，自双方签字盖章之日起生效。合同附件1.《物业管理服务考核评分细则》2.《物业委托管理服务考核评分说明》3.</w:t>
      </w:r>
      <w:r>
        <w:rPr>
          <w:rFonts w:hint="eastAsia" w:ascii="仿宋" w:hAnsi="仿宋" w:eastAsia="仿宋" w:cs="仿宋"/>
          <w:sz w:val="28"/>
          <w:szCs w:val="28"/>
        </w:rPr>
        <w:t>《物业工程服务标准化手册目录》4.《廉洁采购协议》</w:t>
      </w:r>
      <w:r>
        <w:rPr>
          <w:rFonts w:hint="eastAsia" w:ascii="仿宋" w:hAnsi="仿宋" w:eastAsia="仿宋" w:cs="仿宋"/>
          <w:sz w:val="28"/>
          <w:szCs w:val="28"/>
          <w:lang w:val="zh-CN"/>
        </w:rPr>
        <w:t>作为本合同不可分割的一部分，与合同具有同等的法律效力。</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9.3</w:t>
      </w:r>
      <w:r>
        <w:rPr>
          <w:rFonts w:hint="eastAsia" w:ascii="仿宋" w:hAnsi="仿宋" w:eastAsia="仿宋" w:cs="仿宋"/>
          <w:sz w:val="28"/>
          <w:szCs w:val="28"/>
          <w:lang w:val="zh-CN"/>
        </w:rPr>
        <w:t>合同履行期间，若双方签订补充协议的，补充协议条文与本合同具有同等法律效力。</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9.4</w:t>
      </w:r>
      <w:r>
        <w:rPr>
          <w:rFonts w:hint="eastAsia" w:ascii="仿宋" w:hAnsi="仿宋" w:eastAsia="仿宋" w:cs="仿宋"/>
          <w:sz w:val="28"/>
          <w:szCs w:val="28"/>
          <w:lang w:val="zh-TW" w:eastAsia="zh-TW"/>
        </w:rPr>
        <w:t>下列地址为各方来往文件（包括但不限于催告函、通知等文件）、人民法院法律文书的送达地址。一方地址如有变更，应在变更后</w:t>
      </w:r>
      <w:r>
        <w:rPr>
          <w:rFonts w:hint="eastAsia" w:ascii="仿宋" w:hAnsi="仿宋" w:eastAsia="仿宋" w:cs="仿宋"/>
          <w:sz w:val="28"/>
          <w:szCs w:val="28"/>
          <w:lang w:val="zh-CN"/>
        </w:rPr>
        <w:t>5</w:t>
      </w:r>
      <w:r>
        <w:rPr>
          <w:rFonts w:hint="eastAsia" w:ascii="仿宋" w:hAnsi="仿宋" w:eastAsia="仿宋" w:cs="仿宋"/>
          <w:sz w:val="28"/>
          <w:szCs w:val="28"/>
          <w:lang w:val="zh-TW" w:eastAsia="zh-TW"/>
        </w:rPr>
        <w:t>日内以书面形式通知另一方。各方按下列地址以快递形式送达来往文件，自邮件寄出后第</w:t>
      </w:r>
      <w:r>
        <w:rPr>
          <w:rFonts w:hint="eastAsia" w:ascii="仿宋" w:hAnsi="仿宋" w:eastAsia="仿宋" w:cs="仿宋"/>
          <w:sz w:val="28"/>
          <w:szCs w:val="28"/>
          <w:lang w:val="zh-CN"/>
        </w:rPr>
        <w:t>5</w:t>
      </w:r>
      <w:r>
        <w:rPr>
          <w:rFonts w:hint="eastAsia" w:ascii="仿宋" w:hAnsi="仿宋" w:eastAsia="仿宋" w:cs="仿宋"/>
          <w:sz w:val="28"/>
          <w:szCs w:val="28"/>
          <w:lang w:val="zh-TW" w:eastAsia="zh-TW"/>
        </w:rPr>
        <w:t>日视为有效送达，快递单上载明快递物的内容即为送达方邮寄内容，收件方应及时签收。一方不及时签收邮件或未履行变更地点通知义务的，自行承担因此产生的一切法律后果。</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甲方地址：</w:t>
      </w:r>
      <w:r>
        <w:rPr>
          <w:rFonts w:hint="eastAsia" w:ascii="仿宋" w:hAnsi="仿宋" w:eastAsia="仿宋" w:cs="仿宋"/>
          <w:sz w:val="28"/>
          <w:szCs w:val="28"/>
        </w:rPr>
        <w:t xml:space="preserve">                  </w:t>
      </w:r>
      <w:r>
        <w:rPr>
          <w:rFonts w:hint="eastAsia" w:ascii="仿宋" w:hAnsi="仿宋" w:eastAsia="仿宋" w:cs="仿宋"/>
          <w:sz w:val="28"/>
          <w:szCs w:val="28"/>
          <w:lang w:val="zh-CN"/>
        </w:rPr>
        <w:t>乙方地址：</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收件人：</w:t>
      </w:r>
      <w:r>
        <w:rPr>
          <w:rFonts w:hint="eastAsia" w:ascii="仿宋" w:hAnsi="仿宋" w:eastAsia="仿宋" w:cs="仿宋"/>
          <w:sz w:val="28"/>
          <w:szCs w:val="28"/>
        </w:rPr>
        <w:t xml:space="preserve">                    </w:t>
      </w:r>
      <w:r>
        <w:rPr>
          <w:rFonts w:hint="eastAsia" w:ascii="仿宋" w:hAnsi="仿宋" w:eastAsia="仿宋" w:cs="仿宋"/>
          <w:sz w:val="28"/>
          <w:szCs w:val="28"/>
          <w:lang w:val="zh-CN"/>
        </w:rPr>
        <w:t>收件人：</w:t>
      </w:r>
      <w:r>
        <w:rPr>
          <w:rFonts w:hint="eastAsia" w:ascii="仿宋" w:hAnsi="仿宋" w:eastAsia="仿宋" w:cs="仿宋"/>
          <w:sz w:val="28"/>
          <w:szCs w:val="28"/>
        </w:rPr>
        <w:t xml:space="preserve"> </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联系电话：</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zh-CN"/>
        </w:rPr>
        <w:t>联系电话：</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（以下无正文）</w:t>
      </w:r>
    </w:p>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560" w:firstLineChars="200"/>
        <w:rPr>
          <w:rFonts w:hint="eastAsia" w:ascii="仿宋" w:hAnsi="仿宋" w:eastAsia="仿宋" w:cs="仿宋"/>
          <w:sz w:val="28"/>
          <w:szCs w:val="28"/>
          <w:lang w:val="zh-CN"/>
        </w:rPr>
      </w:pPr>
    </w:p>
    <w:p>
      <w:pPr>
        <w:wordWrap/>
        <w:adjustRightInd/>
        <w:snapToGrid/>
        <w:spacing w:line="240" w:lineRule="auto"/>
        <w:ind w:firstLine="0" w:firstLineChars="0"/>
        <w:rPr>
          <w:rFonts w:hint="eastAsia" w:ascii="仿宋" w:hAnsi="仿宋" w:eastAsia="仿宋" w:cs="仿宋"/>
          <w:sz w:val="28"/>
          <w:szCs w:val="28"/>
          <w:lang w:val="zh-CN"/>
        </w:rPr>
      </w:pPr>
      <w:r>
        <w:rPr>
          <w:rFonts w:hint="eastAsia" w:ascii="仿宋" w:hAnsi="仿宋" w:eastAsia="仿宋" w:cs="仿宋"/>
          <w:sz w:val="28"/>
          <w:szCs w:val="28"/>
          <w:lang w:val="zh-CN"/>
        </w:rPr>
        <w:br w:type="page"/>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甲方：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乙方：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法定代表人：                       法定代表人：</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经办人：                           经办人：                              </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地址：</w:t>
      </w:r>
      <w:r>
        <w:rPr>
          <w:rFonts w:hint="eastAsia" w:ascii="仿宋" w:hAnsi="仿宋" w:eastAsia="仿宋" w:cs="仿宋"/>
          <w:sz w:val="28"/>
          <w:szCs w:val="28"/>
        </w:rPr>
        <w:t xml:space="preserve">                             地址：</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                         联系电话：</w:t>
      </w:r>
    </w:p>
    <w:p>
      <w:pPr>
        <w:wordWrap/>
        <w:adjustRightInd/>
        <w:snapToGrid/>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签订日期：            </w:t>
      </w:r>
    </w:p>
    <w:p>
      <w:pPr>
        <w:wordWrap/>
        <w:adjustRightInd/>
        <w:snapToGrid/>
        <w:spacing w:line="24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签订地点：</w:t>
      </w:r>
    </w:p>
    <w:p>
      <w:pPr>
        <w:wordWrap/>
        <w:adjustRightInd/>
        <w:snapToGrid/>
        <w:spacing w:line="240" w:lineRule="auto"/>
        <w:rPr>
          <w:rFonts w:hint="eastAsia" w:ascii="仿宋" w:hAnsi="仿宋" w:eastAsia="仿宋" w:cs="仿宋"/>
          <w:b/>
          <w:kern w:val="0"/>
          <w:sz w:val="24"/>
          <w:szCs w:val="24"/>
        </w:rPr>
      </w:pPr>
    </w:p>
    <w:p>
      <w:pPr>
        <w:spacing w:line="320" w:lineRule="exact"/>
        <w:jc w:val="center"/>
        <w:rPr>
          <w:rFonts w:hint="eastAsia" w:ascii="仿宋" w:hAnsi="仿宋" w:eastAsia="仿宋" w:cs="仿宋"/>
          <w:b/>
          <w:bCs/>
          <w:kern w:val="0"/>
          <w:sz w:val="24"/>
          <w:szCs w:val="24"/>
        </w:rPr>
      </w:pPr>
    </w:p>
    <w:p>
      <w:pPr>
        <w:ind w:firstLine="0" w:firstLineChars="0"/>
        <w:rPr>
          <w:rFonts w:hint="eastAsia" w:ascii="仿宋" w:hAnsi="仿宋" w:eastAsia="仿宋" w:cs="仿宋"/>
          <w:b/>
          <w:bCs/>
          <w:sz w:val="28"/>
          <w:szCs w:val="28"/>
          <w:lang w:val="zh-CN"/>
        </w:rPr>
      </w:pPr>
      <w:r>
        <w:rPr>
          <w:rFonts w:hint="eastAsia" w:ascii="仿宋" w:hAnsi="仿宋" w:eastAsia="仿宋" w:cs="仿宋"/>
          <w:b/>
          <w:bCs/>
          <w:sz w:val="28"/>
          <w:szCs w:val="28"/>
          <w:lang w:val="zh-CN"/>
        </w:rPr>
        <w:br w:type="page"/>
      </w:r>
    </w:p>
    <w:p>
      <w:pPr>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附件1：</w:t>
      </w:r>
    </w:p>
    <w:p>
      <w:pPr>
        <w:ind w:firstLine="562" w:firstLineChars="200"/>
        <w:jc w:val="center"/>
        <w:rPr>
          <w:rFonts w:hint="eastAsia" w:ascii="仿宋" w:hAnsi="仿宋" w:eastAsia="仿宋" w:cs="仿宋"/>
          <w:b/>
          <w:bCs/>
          <w:sz w:val="28"/>
          <w:szCs w:val="28"/>
          <w:lang w:val="zh-CN"/>
        </w:rPr>
      </w:pPr>
      <w:r>
        <w:rPr>
          <w:rFonts w:hint="eastAsia" w:ascii="仿宋" w:hAnsi="仿宋" w:eastAsia="仿宋" w:cs="仿宋"/>
          <w:b/>
          <w:bCs/>
          <w:sz w:val="28"/>
          <w:szCs w:val="28"/>
          <w:lang w:val="zh-CN"/>
        </w:rPr>
        <w:t>物业管理服务考核评分细则</w:t>
      </w:r>
    </w:p>
    <w:p>
      <w:pPr>
        <w:pStyle w:val="2"/>
        <w:spacing w:line="320" w:lineRule="exact"/>
        <w:rPr>
          <w:rFonts w:hint="eastAsia" w:ascii="仿宋" w:hAnsi="仿宋" w:eastAsia="仿宋" w:cs="仿宋"/>
          <w:sz w:val="24"/>
        </w:rPr>
      </w:pPr>
    </w:p>
    <w:tbl>
      <w:tblPr>
        <w:tblpPr w:leftFromText="180" w:rightFromText="180" w:vertAnchor="text" w:horzAnchor="margin" w:tblpXSpec="center" w:tblpY="158"/>
        <w:tblW w:w="9359"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765"/>
        <w:gridCol w:w="2925"/>
        <w:gridCol w:w="88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76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考核内容</w:t>
            </w:r>
          </w:p>
        </w:tc>
        <w:tc>
          <w:tcPr>
            <w:tcW w:w="292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评分标准</w:t>
            </w:r>
          </w:p>
        </w:tc>
        <w:tc>
          <w:tcPr>
            <w:tcW w:w="887"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考评分</w:t>
            </w:r>
          </w:p>
        </w:tc>
        <w:tc>
          <w:tcPr>
            <w:tcW w:w="1139"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1</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加强运保组织建设（10分）</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运保人员配备齐全（除各专业技术岗位配置人员以外，需要配置一名项目经理和一名前台服务员）、证件、资质齐全。做好专业资格培训；进行上岗前培训</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1.运保人员配备不齐全、证件、资质等不齐全的扣6分。如遇到影响业主工作进展的，直接扣除10分。</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2.各岗位人员不经过培训就上岗，每人次扣2分。</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3.发现没有参加专业资格培训并取得合格证书的，扣5分。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2</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所辖区域设施设备运行维修养护制度健全，建立有共用设施设备档案（设备台帐）、运行、检查、维修、保养记录齐全，出现故障及时排除；（10分）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没有按要求记录台账每项扣2分。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3</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维修养护制度健全，水、电、电梯等工作标准及岗位责任制明确，操作维护人员严格执行设施设备操作规程及保养规范；设施设备运行正常，无事故隐患。科学制定节能减排实施计划，每月5日前对物业范围的水表、电表准确无误进行抄录，并根据入驻单位水电使用情况进行分摊计量；定期或不定期巡查总水表、电表运行情况，分析水电收支测算工作报甲方，并建立工作台帐备查；原则上收入略有盈余，不能出现亏损情况。（20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1、水电出现亏损扣5分；2、不按时抄录水电表扣2分；3、制度不健全扣3分；4、不按要求进行水电测算报甲方扣3分。</w:t>
            </w:r>
          </w:p>
          <w:p>
            <w:pPr>
              <w:widowControl w:val="0"/>
              <w:wordWrap/>
              <w:adjustRightInd/>
              <w:snapToGrid/>
              <w:spacing w:line="300" w:lineRule="exact"/>
              <w:textAlignment w:val="auto"/>
              <w:rPr>
                <w:rFonts w:hint="eastAsia" w:ascii="仿宋" w:hAnsi="仿宋" w:eastAsia="仿宋" w:cs="仿宋"/>
                <w:color w:val="000000"/>
                <w:kern w:val="0"/>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4</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所辖区域用设施设备定期组织巡查，做好巡查记录，需要维修，三个工作日内编制维修计划、更新改造计划，向甲方相关部门提出报告与建议，根据决定，组织维修或更新改造。（5分）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val="0"/>
                <w:color w:val="000000"/>
                <w:kern w:val="0"/>
                <w:sz w:val="24"/>
                <w:szCs w:val="24"/>
              </w:rPr>
            </w:pPr>
            <w:r>
              <w:rPr>
                <w:rFonts w:hint="eastAsia" w:ascii="仿宋" w:hAnsi="仿宋" w:eastAsia="仿宋" w:cs="仿宋"/>
                <w:color w:val="000000"/>
                <w:kern w:val="0"/>
                <w:sz w:val="24"/>
                <w:szCs w:val="24"/>
              </w:rPr>
              <w:t>没有按要求巡查记录每项扣2分，没有及时报告出计划方案扣2分。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5</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对可能发生的各种设备故障及重大或突发性事件有应急方案和现场处理措施、处理记录。（5分）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未按要求制定应急方案及处理一次扣5分。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6</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接到相关部门停水、停电通知，提前通知甲方及相关人员。（5分）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val="0"/>
                <w:color w:val="000000"/>
                <w:kern w:val="0"/>
                <w:sz w:val="24"/>
                <w:szCs w:val="24"/>
              </w:rPr>
            </w:pPr>
            <w:r>
              <w:rPr>
                <w:rFonts w:hint="eastAsia" w:ascii="仿宋" w:hAnsi="仿宋" w:eastAsia="仿宋" w:cs="仿宋"/>
                <w:color w:val="000000"/>
                <w:kern w:val="0"/>
                <w:sz w:val="24"/>
                <w:szCs w:val="24"/>
              </w:rPr>
              <w:t>未按要求通知甲方直接扣5分。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7</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设备急修要求15分钟内到达，一般维修当日响应并组织修复。（5分）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未按要求响应并组织修复的扣5分。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8</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强消防安全管理，每日例行对管辖区域内的消防安全进行检查，对动火作业、违章用电等各种影响安全的行为及时劝告阻止并报告甲方，对仓库、装修作业、加工场所、电动车充电等实行重点监控盯防；每月定期检查管辖区域内的消防设备设施（包括公共部分及承租户），重点检查消防设备设施是否完好、有效，配置的数量、安放位置是否合理等，并做好登记，发现存在安全隐患的及时向威宁公司报告。（</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5）</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对动火作业、违章用电等各种影响安全的行为未及时劝告阻止和报告甲方的，一次扣2分；没有消防设备设施检查登记记录的，一次扣2分。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9</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注重运保言行举止（15分）</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1.严格执行操作规程。</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2.按时巡检，认真记录。</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3.严格要求，规范管理。</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出现以下情况之一的一次扣5分：</w:t>
            </w:r>
          </w:p>
          <w:p>
            <w:pPr>
              <w:widowControl w:val="0"/>
              <w:wordWrap/>
              <w:adjustRightInd/>
              <w:snapToGrid/>
              <w:spacing w:line="300" w:lineRule="exact"/>
              <w:ind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1.擅离职守、不请假离岗的；</w:t>
            </w:r>
          </w:p>
          <w:p>
            <w:pPr>
              <w:widowControl w:val="0"/>
              <w:wordWrap/>
              <w:adjustRightInd/>
              <w:snapToGrid/>
              <w:spacing w:line="300" w:lineRule="exact"/>
              <w:ind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2.浪费水电资源，给公司造成经济损失的。</w:t>
            </w:r>
          </w:p>
          <w:p>
            <w:pPr>
              <w:widowControl w:val="0"/>
              <w:wordWrap/>
              <w:adjustRightInd/>
              <w:snapToGrid/>
              <w:spacing w:line="300" w:lineRule="exact"/>
              <w:ind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3.酒后上岗的。</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出现以下情况之一的每项扣5分：</w:t>
            </w:r>
          </w:p>
          <w:p>
            <w:pPr>
              <w:widowControl w:val="0"/>
              <w:wordWrap/>
              <w:adjustRightInd/>
              <w:snapToGrid/>
              <w:spacing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⑴上班打瞌睡；⑵随地吐痰，乱扔垃圾、杂物；⑶弄虚作假，欺上瞒下；⑷遗漏交班事项；⑸发现违规操作行为不劝阻、不制止；⑹外来人员进入工作区域不登记；⑺不按时抄记值班记录；⑻值班室、设备机房卫生不干净；⑼在登记本上乱涂乱画。⑽在值班中玩游戏；⑾不按时进行日、周、季、年检；⑿不按时进行月、季、年保养工作。⒀不主动配合同事的巡检维修保养工作；⒁出言不逊、谩骂同事。</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10</w:t>
            </w:r>
          </w:p>
        </w:tc>
        <w:tc>
          <w:tcPr>
            <w:tcW w:w="376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rPr>
              <w:t>入场后2个月内完成</w:t>
            </w:r>
            <w:r>
              <w:rPr>
                <w:rFonts w:hint="eastAsia" w:ascii="仿宋" w:hAnsi="仿宋" w:eastAsia="仿宋" w:cs="仿宋"/>
                <w:b w:val="0"/>
                <w:bCs w:val="0"/>
                <w:color w:val="000000"/>
                <w:kern w:val="0"/>
                <w:sz w:val="24"/>
                <w:szCs w:val="24"/>
              </w:rPr>
              <w:t>物业</w:t>
            </w:r>
            <w:r>
              <w:rPr>
                <w:rFonts w:hint="eastAsia" w:ascii="仿宋" w:hAnsi="仿宋" w:eastAsia="仿宋" w:cs="仿宋"/>
                <w:b w:val="0"/>
                <w:bCs w:val="0"/>
                <w:color w:val="000000"/>
                <w:kern w:val="0"/>
                <w:sz w:val="24"/>
                <w:szCs w:val="24"/>
                <w:lang w:val="en-US" w:eastAsia="zh-CN"/>
              </w:rPr>
              <w:t>工程</w:t>
            </w:r>
            <w:r>
              <w:rPr>
                <w:rFonts w:hint="eastAsia" w:ascii="仿宋" w:hAnsi="仿宋" w:eastAsia="仿宋" w:cs="仿宋"/>
                <w:b w:val="0"/>
                <w:bCs w:val="0"/>
                <w:color w:val="000000"/>
                <w:kern w:val="0"/>
                <w:sz w:val="24"/>
                <w:szCs w:val="24"/>
              </w:rPr>
              <w:t>服务标准化手册</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附件3</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10分</w:t>
            </w:r>
            <w:r>
              <w:rPr>
                <w:rFonts w:hint="eastAsia" w:ascii="仿宋" w:hAnsi="仿宋" w:eastAsia="仿宋" w:cs="仿宋"/>
                <w:b w:val="0"/>
                <w:bCs w:val="0"/>
                <w:color w:val="000000"/>
                <w:kern w:val="0"/>
                <w:sz w:val="24"/>
                <w:szCs w:val="24"/>
                <w:lang w:eastAsia="zh-CN"/>
              </w:rPr>
              <w:t>）</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未完成制定一项管理标准扣2分，未按完成制定的管理标准落实执行一项扣2分。</w:t>
            </w: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408"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jc w:val="center"/>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合计</w:t>
            </w:r>
          </w:p>
        </w:tc>
        <w:tc>
          <w:tcPr>
            <w:tcW w:w="292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color w:val="000000"/>
                <w:kern w:val="0"/>
                <w:sz w:val="24"/>
                <w:szCs w:val="24"/>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00" w:lineRule="exact"/>
              <w:textAlignment w:val="auto"/>
              <w:rPr>
                <w:rFonts w:hint="eastAsia" w:ascii="仿宋" w:hAnsi="仿宋" w:eastAsia="仿宋" w:cs="仿宋"/>
                <w:b/>
                <w:color w:val="000000"/>
                <w:kern w:val="0"/>
                <w:sz w:val="24"/>
                <w:szCs w:val="24"/>
              </w:rPr>
            </w:pPr>
          </w:p>
        </w:tc>
      </w:tr>
    </w:tbl>
    <w:p>
      <w:pPr>
        <w:spacing w:line="400" w:lineRule="exact"/>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物业（工程）外包服务质量检查整改通知书</w:t>
      </w:r>
    </w:p>
    <w:tbl>
      <w:tblPr>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244"/>
        <w:gridCol w:w="1796"/>
        <w:gridCol w:w="897"/>
        <w:gridCol w:w="84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受检单位</w:t>
            </w:r>
          </w:p>
        </w:tc>
        <w:tc>
          <w:tcPr>
            <w:tcW w:w="5040" w:type="dxa"/>
            <w:gridSpan w:val="2"/>
            <w:vAlign w:val="center"/>
          </w:tcPr>
          <w:p>
            <w:pPr>
              <w:spacing w:line="400" w:lineRule="exact"/>
              <w:jc w:val="center"/>
              <w:rPr>
                <w:rFonts w:hint="eastAsia" w:ascii="仿宋" w:hAnsi="仿宋" w:eastAsia="仿宋" w:cs="仿宋"/>
                <w:color w:val="000000"/>
                <w:kern w:val="0"/>
                <w:sz w:val="28"/>
                <w:szCs w:val="28"/>
              </w:rPr>
            </w:pPr>
          </w:p>
        </w:tc>
        <w:tc>
          <w:tcPr>
            <w:tcW w:w="1742" w:type="dxa"/>
            <w:gridSpan w:val="2"/>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日期</w:t>
            </w:r>
          </w:p>
        </w:tc>
        <w:tc>
          <w:tcPr>
            <w:tcW w:w="1498" w:type="dxa"/>
            <w:vAlign w:val="center"/>
          </w:tcPr>
          <w:p>
            <w:pPr>
              <w:spacing w:line="40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1548" w:type="dxa"/>
            <w:vAlign w:val="top"/>
          </w:tcPr>
          <w:p>
            <w:pPr>
              <w:spacing w:line="400" w:lineRule="exact"/>
              <w:ind w:left="-2"/>
              <w:rPr>
                <w:rFonts w:hint="eastAsia" w:ascii="仿宋" w:hAnsi="仿宋" w:eastAsia="仿宋" w:cs="仿宋"/>
                <w:color w:val="000000"/>
                <w:kern w:val="0"/>
                <w:sz w:val="28"/>
                <w:szCs w:val="28"/>
              </w:rPr>
            </w:pPr>
          </w:p>
          <w:p>
            <w:pPr>
              <w:spacing w:line="400" w:lineRule="exact"/>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检查内容</w:t>
            </w:r>
          </w:p>
          <w:p>
            <w:pPr>
              <w:spacing w:line="40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&amp;</w:t>
            </w:r>
          </w:p>
          <w:p>
            <w:pPr>
              <w:spacing w:line="400" w:lineRule="exact"/>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发现问题</w:t>
            </w:r>
          </w:p>
        </w:tc>
        <w:tc>
          <w:tcPr>
            <w:tcW w:w="8280" w:type="dxa"/>
            <w:gridSpan w:val="5"/>
            <w:vAlign w:val="top"/>
          </w:tcPr>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整改意见</w:t>
            </w:r>
          </w:p>
        </w:tc>
        <w:tc>
          <w:tcPr>
            <w:tcW w:w="8280" w:type="dxa"/>
            <w:gridSpan w:val="5"/>
            <w:vAlign w:val="top"/>
          </w:tcPr>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受检单位</w:t>
            </w:r>
          </w:p>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签名</w:t>
            </w:r>
          </w:p>
        </w:tc>
        <w:tc>
          <w:tcPr>
            <w:tcW w:w="3244" w:type="dxa"/>
            <w:vAlign w:val="center"/>
          </w:tcPr>
          <w:p>
            <w:pPr>
              <w:spacing w:line="400" w:lineRule="exact"/>
              <w:jc w:val="center"/>
              <w:rPr>
                <w:rFonts w:hint="eastAsia" w:ascii="仿宋" w:hAnsi="仿宋" w:eastAsia="仿宋" w:cs="仿宋"/>
                <w:color w:val="000000"/>
                <w:kern w:val="0"/>
                <w:sz w:val="28"/>
                <w:szCs w:val="28"/>
              </w:rPr>
            </w:pPr>
          </w:p>
        </w:tc>
        <w:tc>
          <w:tcPr>
            <w:tcW w:w="2693" w:type="dxa"/>
            <w:gridSpan w:val="2"/>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检查单位签字</w:t>
            </w:r>
          </w:p>
        </w:tc>
        <w:tc>
          <w:tcPr>
            <w:tcW w:w="2343" w:type="dxa"/>
            <w:gridSpan w:val="2"/>
            <w:vAlign w:val="center"/>
          </w:tcPr>
          <w:p>
            <w:pPr>
              <w:spacing w:line="400" w:lineRule="exact"/>
              <w:rPr>
                <w:rFonts w:hint="eastAsia" w:ascii="仿宋" w:hAnsi="仿宋" w:eastAsia="仿宋" w:cs="仿宋"/>
                <w:color w:val="000000"/>
                <w:kern w:val="0"/>
                <w:sz w:val="28"/>
                <w:szCs w:val="28"/>
              </w:rPr>
            </w:pPr>
          </w:p>
        </w:tc>
      </w:tr>
    </w:tbl>
    <w:p>
      <w:pPr>
        <w:tabs>
          <w:tab w:val="left" w:pos="3600"/>
        </w:tabs>
        <w:spacing w:line="400" w:lineRule="exact"/>
        <w:rPr>
          <w:rFonts w:hint="eastAsia" w:ascii="仿宋" w:hAnsi="仿宋" w:eastAsia="仿宋" w:cs="仿宋"/>
          <w:b/>
          <w:color w:val="000000"/>
          <w:kern w:val="0"/>
          <w:sz w:val="28"/>
          <w:szCs w:val="28"/>
        </w:rPr>
      </w:pPr>
    </w:p>
    <w:p>
      <w:pPr>
        <w:spacing w:line="400" w:lineRule="exact"/>
        <w:jc w:val="center"/>
        <w:rPr>
          <w:rFonts w:hint="eastAsia" w:ascii="仿宋" w:hAnsi="仿宋" w:eastAsia="仿宋" w:cs="仿宋"/>
          <w:b/>
          <w:color w:val="000000"/>
          <w:kern w:val="0"/>
          <w:sz w:val="32"/>
          <w:szCs w:val="32"/>
        </w:rPr>
      </w:pPr>
    </w:p>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b/>
          <w:color w:val="000000"/>
          <w:kern w:val="0"/>
          <w:sz w:val="32"/>
          <w:szCs w:val="32"/>
        </w:rPr>
        <w:t>物业（工程）外包服务质量检查整改通知书</w:t>
      </w:r>
    </w:p>
    <w:tbl>
      <w:tblPr>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244"/>
        <w:gridCol w:w="1796"/>
        <w:gridCol w:w="897"/>
        <w:gridCol w:w="84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受检单位</w:t>
            </w:r>
          </w:p>
        </w:tc>
        <w:tc>
          <w:tcPr>
            <w:tcW w:w="5040" w:type="dxa"/>
            <w:gridSpan w:val="2"/>
            <w:vAlign w:val="center"/>
          </w:tcPr>
          <w:p>
            <w:pPr>
              <w:spacing w:line="400" w:lineRule="exact"/>
              <w:jc w:val="center"/>
              <w:rPr>
                <w:rFonts w:hint="eastAsia" w:ascii="仿宋" w:hAnsi="仿宋" w:eastAsia="仿宋" w:cs="仿宋"/>
                <w:color w:val="000000"/>
                <w:kern w:val="0"/>
                <w:sz w:val="28"/>
                <w:szCs w:val="28"/>
              </w:rPr>
            </w:pPr>
          </w:p>
        </w:tc>
        <w:tc>
          <w:tcPr>
            <w:tcW w:w="1742" w:type="dxa"/>
            <w:gridSpan w:val="2"/>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日期</w:t>
            </w:r>
          </w:p>
        </w:tc>
        <w:tc>
          <w:tcPr>
            <w:tcW w:w="1498" w:type="dxa"/>
            <w:vAlign w:val="center"/>
          </w:tcPr>
          <w:p>
            <w:pPr>
              <w:spacing w:line="40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1548" w:type="dxa"/>
            <w:vAlign w:val="top"/>
          </w:tcPr>
          <w:p>
            <w:pPr>
              <w:spacing w:line="400" w:lineRule="exact"/>
              <w:ind w:left="-2"/>
              <w:rPr>
                <w:rFonts w:hint="eastAsia" w:ascii="仿宋" w:hAnsi="仿宋" w:eastAsia="仿宋" w:cs="仿宋"/>
                <w:color w:val="000000"/>
                <w:kern w:val="0"/>
                <w:sz w:val="28"/>
                <w:szCs w:val="28"/>
              </w:rPr>
            </w:pPr>
          </w:p>
          <w:p>
            <w:pPr>
              <w:spacing w:line="400" w:lineRule="exact"/>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检查内容</w:t>
            </w:r>
          </w:p>
          <w:p>
            <w:pPr>
              <w:spacing w:line="40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&amp;</w:t>
            </w:r>
          </w:p>
          <w:p>
            <w:pPr>
              <w:spacing w:line="400" w:lineRule="exact"/>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发现问题</w:t>
            </w:r>
          </w:p>
        </w:tc>
        <w:tc>
          <w:tcPr>
            <w:tcW w:w="8280" w:type="dxa"/>
            <w:gridSpan w:val="5"/>
            <w:vAlign w:val="top"/>
          </w:tcPr>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整改意见</w:t>
            </w:r>
          </w:p>
        </w:tc>
        <w:tc>
          <w:tcPr>
            <w:tcW w:w="8280" w:type="dxa"/>
            <w:gridSpan w:val="5"/>
            <w:vAlign w:val="top"/>
          </w:tcPr>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p>
            <w:pPr>
              <w:spacing w:line="400" w:lineRule="exac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48" w:type="dxa"/>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受检单位</w:t>
            </w:r>
          </w:p>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签名</w:t>
            </w:r>
          </w:p>
        </w:tc>
        <w:tc>
          <w:tcPr>
            <w:tcW w:w="3244" w:type="dxa"/>
            <w:vAlign w:val="center"/>
          </w:tcPr>
          <w:p>
            <w:pPr>
              <w:spacing w:line="400" w:lineRule="exact"/>
              <w:jc w:val="center"/>
              <w:rPr>
                <w:rFonts w:hint="eastAsia" w:ascii="仿宋" w:hAnsi="仿宋" w:eastAsia="仿宋" w:cs="仿宋"/>
                <w:color w:val="000000"/>
                <w:kern w:val="0"/>
                <w:sz w:val="28"/>
                <w:szCs w:val="28"/>
              </w:rPr>
            </w:pPr>
          </w:p>
        </w:tc>
        <w:tc>
          <w:tcPr>
            <w:tcW w:w="2693" w:type="dxa"/>
            <w:gridSpan w:val="2"/>
            <w:vAlign w:val="center"/>
          </w:tcPr>
          <w:p>
            <w:pPr>
              <w:spacing w:line="4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检查单位签字</w:t>
            </w:r>
          </w:p>
        </w:tc>
        <w:tc>
          <w:tcPr>
            <w:tcW w:w="2343" w:type="dxa"/>
            <w:gridSpan w:val="2"/>
            <w:vAlign w:val="center"/>
          </w:tcPr>
          <w:p>
            <w:pPr>
              <w:spacing w:line="400" w:lineRule="exact"/>
              <w:rPr>
                <w:rFonts w:hint="eastAsia" w:ascii="仿宋" w:hAnsi="仿宋" w:eastAsia="仿宋" w:cs="仿宋"/>
                <w:color w:val="000000"/>
                <w:kern w:val="0"/>
                <w:sz w:val="28"/>
                <w:szCs w:val="28"/>
              </w:rPr>
            </w:pPr>
          </w:p>
        </w:tc>
      </w:tr>
    </w:tbl>
    <w:p>
      <w:pPr>
        <w:spacing w:line="400" w:lineRule="exact"/>
        <w:jc w:val="left"/>
        <w:rPr>
          <w:rFonts w:hint="eastAsia" w:ascii="仿宋" w:hAnsi="仿宋" w:eastAsia="仿宋" w:cs="仿宋"/>
          <w:color w:val="000000"/>
          <w:kern w:val="0"/>
          <w:sz w:val="28"/>
          <w:szCs w:val="28"/>
        </w:rPr>
        <w:sectPr>
          <w:footerReference r:id="rId4" w:type="default"/>
          <w:pgSz w:w="11906" w:h="16838"/>
          <w:pgMar w:top="1304" w:right="1417" w:bottom="1134" w:left="1417" w:header="454" w:footer="454" w:gutter="0"/>
          <w:cols w:space="720" w:num="1"/>
          <w:docGrid w:type="lines" w:linePitch="331" w:charSpace="0"/>
        </w:sectPr>
      </w:pPr>
    </w:p>
    <w:p>
      <w:pPr>
        <w:spacing w:line="400" w:lineRule="exact"/>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物业（工程）外包服务考核评分汇总表</w:t>
      </w:r>
    </w:p>
    <w:p>
      <w:pPr>
        <w:spacing w:before="240" w:after="60"/>
        <w:outlineLvl w:val="0"/>
        <w:rPr>
          <w:rFonts w:hint="eastAsia" w:ascii="仿宋" w:hAnsi="仿宋" w:eastAsia="仿宋" w:cs="仿宋"/>
          <w:b/>
          <w:color w:val="000000"/>
          <w:kern w:val="0"/>
          <w:sz w:val="28"/>
          <w:szCs w:val="28"/>
          <w:u w:val="single"/>
        </w:rPr>
      </w:pPr>
      <w:r>
        <w:rPr>
          <w:rFonts w:hint="eastAsia" w:ascii="仿宋" w:hAnsi="仿宋" w:eastAsia="仿宋" w:cs="仿宋"/>
          <w:b/>
          <w:color w:val="000000"/>
          <w:kern w:val="0"/>
          <w:sz w:val="28"/>
          <w:szCs w:val="28"/>
        </w:rPr>
        <w:t xml:space="preserve">                                        </w:t>
      </w:r>
      <w:r>
        <w:rPr>
          <w:rFonts w:hint="eastAsia" w:ascii="仿宋" w:hAnsi="仿宋" w:eastAsia="仿宋" w:cs="仿宋"/>
          <w:bCs/>
          <w:color w:val="000000"/>
          <w:sz w:val="28"/>
          <w:szCs w:val="28"/>
          <w:lang w:val="zh-CN"/>
        </w:rPr>
        <w:t>考核月份</w:t>
      </w:r>
      <w:r>
        <w:rPr>
          <w:rFonts w:hint="eastAsia" w:ascii="仿宋" w:hAnsi="仿宋" w:eastAsia="仿宋" w:cs="仿宋"/>
          <w:b/>
          <w:color w:val="000000"/>
          <w:kern w:val="0"/>
          <w:sz w:val="28"/>
          <w:szCs w:val="28"/>
          <w:u w:val="single"/>
        </w:rPr>
        <w:t xml:space="preserve">        </w:t>
      </w:r>
    </w:p>
    <w:p>
      <w:pPr>
        <w:spacing w:before="240" w:after="60"/>
        <w:outlineLvl w:val="0"/>
        <w:rPr>
          <w:rFonts w:hint="eastAsia" w:ascii="仿宋" w:hAnsi="仿宋" w:eastAsia="仿宋" w:cs="仿宋"/>
          <w:b/>
          <w:color w:val="000000"/>
          <w:kern w:val="0"/>
          <w:sz w:val="28"/>
          <w:szCs w:val="28"/>
          <w:u w:val="single"/>
        </w:rPr>
      </w:pP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27"/>
        <w:gridCol w:w="1286"/>
        <w:gridCol w:w="1489"/>
        <w:gridCol w:w="140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62"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序号</w:t>
            </w:r>
          </w:p>
        </w:tc>
        <w:tc>
          <w:tcPr>
            <w:tcW w:w="1927"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考核项目</w:t>
            </w:r>
          </w:p>
        </w:tc>
        <w:tc>
          <w:tcPr>
            <w:tcW w:w="1286"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考核分</w:t>
            </w:r>
          </w:p>
        </w:tc>
        <w:tc>
          <w:tcPr>
            <w:tcW w:w="1489"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占比（%）</w:t>
            </w:r>
          </w:p>
        </w:tc>
        <w:tc>
          <w:tcPr>
            <w:tcW w:w="1406"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占比得分</w:t>
            </w:r>
          </w:p>
        </w:tc>
        <w:tc>
          <w:tcPr>
            <w:tcW w:w="1352"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062" w:type="dxa"/>
            <w:vAlign w:val="center"/>
          </w:tcPr>
          <w:p>
            <w:pPr>
              <w:spacing w:line="500" w:lineRule="exact"/>
              <w:jc w:val="center"/>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1</w:t>
            </w:r>
          </w:p>
        </w:tc>
        <w:tc>
          <w:tcPr>
            <w:tcW w:w="1927" w:type="dxa"/>
            <w:vAlign w:val="center"/>
          </w:tcPr>
          <w:p>
            <w:pPr>
              <w:spacing w:line="500" w:lineRule="exact"/>
              <w:jc w:val="center"/>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设备运行保障</w:t>
            </w:r>
          </w:p>
        </w:tc>
        <w:tc>
          <w:tcPr>
            <w:tcW w:w="1286" w:type="dxa"/>
            <w:vAlign w:val="center"/>
          </w:tcPr>
          <w:p>
            <w:pPr>
              <w:spacing w:line="500" w:lineRule="exact"/>
              <w:jc w:val="center"/>
              <w:outlineLvl w:val="0"/>
              <w:rPr>
                <w:rFonts w:hint="eastAsia" w:ascii="仿宋" w:hAnsi="仿宋" w:eastAsia="仿宋" w:cs="仿宋"/>
                <w:bCs/>
                <w:color w:val="000000"/>
                <w:sz w:val="28"/>
                <w:szCs w:val="28"/>
                <w:lang w:val="zh-CN"/>
              </w:rPr>
            </w:pPr>
          </w:p>
        </w:tc>
        <w:tc>
          <w:tcPr>
            <w:tcW w:w="1489" w:type="dxa"/>
            <w:vAlign w:val="center"/>
          </w:tcPr>
          <w:p>
            <w:pPr>
              <w:spacing w:line="500" w:lineRule="exact"/>
              <w:jc w:val="center"/>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80</w:t>
            </w:r>
          </w:p>
        </w:tc>
        <w:tc>
          <w:tcPr>
            <w:tcW w:w="1406" w:type="dxa"/>
            <w:vAlign w:val="center"/>
          </w:tcPr>
          <w:p>
            <w:pPr>
              <w:spacing w:line="500" w:lineRule="exact"/>
              <w:jc w:val="center"/>
              <w:outlineLvl w:val="0"/>
              <w:rPr>
                <w:rFonts w:hint="eastAsia" w:ascii="仿宋" w:hAnsi="仿宋" w:eastAsia="仿宋" w:cs="仿宋"/>
                <w:bCs/>
                <w:color w:val="000000"/>
                <w:sz w:val="28"/>
                <w:szCs w:val="28"/>
                <w:lang w:val="zh-CN"/>
              </w:rPr>
            </w:pPr>
          </w:p>
        </w:tc>
        <w:tc>
          <w:tcPr>
            <w:tcW w:w="1352" w:type="dxa"/>
            <w:vAlign w:val="center"/>
          </w:tcPr>
          <w:p>
            <w:pPr>
              <w:spacing w:line="500" w:lineRule="exact"/>
              <w:jc w:val="center"/>
              <w:outlineLvl w:val="0"/>
              <w:rPr>
                <w:rFonts w:hint="eastAsia" w:ascii="仿宋" w:hAnsi="仿宋" w:eastAsia="仿宋" w:cs="仿宋"/>
                <w:bCs/>
                <w:color w:val="00000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062" w:type="dxa"/>
            <w:vAlign w:val="center"/>
          </w:tcPr>
          <w:p>
            <w:pPr>
              <w:spacing w:line="500" w:lineRule="exact"/>
              <w:jc w:val="center"/>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2</w:t>
            </w:r>
          </w:p>
        </w:tc>
        <w:tc>
          <w:tcPr>
            <w:tcW w:w="1927" w:type="dxa"/>
            <w:vAlign w:val="center"/>
          </w:tcPr>
          <w:p>
            <w:pPr>
              <w:spacing w:line="440" w:lineRule="exact"/>
              <w:jc w:val="center"/>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rPr>
              <w:t>业户</w:t>
            </w:r>
            <w:r>
              <w:rPr>
                <w:rFonts w:hint="eastAsia" w:ascii="仿宋" w:hAnsi="仿宋" w:eastAsia="仿宋" w:cs="仿宋"/>
                <w:bCs/>
                <w:color w:val="000000"/>
                <w:sz w:val="28"/>
                <w:szCs w:val="28"/>
                <w:lang w:val="zh-CN"/>
              </w:rPr>
              <w:t>满意度</w:t>
            </w:r>
          </w:p>
        </w:tc>
        <w:tc>
          <w:tcPr>
            <w:tcW w:w="1286" w:type="dxa"/>
            <w:vAlign w:val="center"/>
          </w:tcPr>
          <w:p>
            <w:pPr>
              <w:spacing w:line="500" w:lineRule="exact"/>
              <w:jc w:val="center"/>
              <w:outlineLvl w:val="0"/>
              <w:rPr>
                <w:rFonts w:hint="eastAsia" w:ascii="仿宋" w:hAnsi="仿宋" w:eastAsia="仿宋" w:cs="仿宋"/>
                <w:bCs/>
                <w:color w:val="000000"/>
                <w:sz w:val="28"/>
                <w:szCs w:val="28"/>
                <w:lang w:val="zh-CN"/>
              </w:rPr>
            </w:pPr>
          </w:p>
        </w:tc>
        <w:tc>
          <w:tcPr>
            <w:tcW w:w="1489" w:type="dxa"/>
            <w:vAlign w:val="center"/>
          </w:tcPr>
          <w:p>
            <w:pPr>
              <w:spacing w:line="500" w:lineRule="exact"/>
              <w:jc w:val="center"/>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20</w:t>
            </w:r>
          </w:p>
        </w:tc>
        <w:tc>
          <w:tcPr>
            <w:tcW w:w="1406" w:type="dxa"/>
            <w:vAlign w:val="center"/>
          </w:tcPr>
          <w:p>
            <w:pPr>
              <w:spacing w:line="500" w:lineRule="exact"/>
              <w:jc w:val="center"/>
              <w:outlineLvl w:val="0"/>
              <w:rPr>
                <w:rFonts w:hint="eastAsia" w:ascii="仿宋" w:hAnsi="仿宋" w:eastAsia="仿宋" w:cs="仿宋"/>
                <w:bCs/>
                <w:color w:val="000000"/>
                <w:sz w:val="28"/>
                <w:szCs w:val="28"/>
                <w:lang w:val="zh-CN"/>
              </w:rPr>
            </w:pPr>
          </w:p>
        </w:tc>
        <w:tc>
          <w:tcPr>
            <w:tcW w:w="1352" w:type="dxa"/>
            <w:vAlign w:val="center"/>
          </w:tcPr>
          <w:p>
            <w:pPr>
              <w:spacing w:line="500" w:lineRule="exact"/>
              <w:jc w:val="center"/>
              <w:outlineLvl w:val="0"/>
              <w:rPr>
                <w:rFonts w:hint="eastAsia" w:ascii="仿宋" w:hAnsi="仿宋" w:eastAsia="仿宋" w:cs="仿宋"/>
                <w:bCs/>
                <w:color w:val="00000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062" w:type="dxa"/>
            <w:vAlign w:val="top"/>
          </w:tcPr>
          <w:p>
            <w:pPr>
              <w:spacing w:line="500" w:lineRule="exact"/>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总分</w:t>
            </w:r>
          </w:p>
        </w:tc>
        <w:tc>
          <w:tcPr>
            <w:tcW w:w="1927" w:type="dxa"/>
            <w:vAlign w:val="top"/>
          </w:tcPr>
          <w:p>
            <w:pPr>
              <w:spacing w:line="500" w:lineRule="exact"/>
              <w:outlineLvl w:val="0"/>
              <w:rPr>
                <w:rFonts w:hint="eastAsia" w:ascii="仿宋" w:hAnsi="仿宋" w:eastAsia="仿宋" w:cs="仿宋"/>
                <w:bCs/>
                <w:color w:val="000000"/>
                <w:sz w:val="28"/>
                <w:szCs w:val="28"/>
                <w:lang w:val="zh-CN"/>
              </w:rPr>
            </w:pPr>
          </w:p>
        </w:tc>
        <w:tc>
          <w:tcPr>
            <w:tcW w:w="1286" w:type="dxa"/>
            <w:vAlign w:val="top"/>
          </w:tcPr>
          <w:p>
            <w:pPr>
              <w:spacing w:line="500" w:lineRule="exact"/>
              <w:outlineLvl w:val="0"/>
              <w:rPr>
                <w:rFonts w:hint="eastAsia" w:ascii="仿宋" w:hAnsi="仿宋" w:eastAsia="仿宋" w:cs="仿宋"/>
                <w:bCs/>
                <w:color w:val="000000"/>
                <w:sz w:val="28"/>
                <w:szCs w:val="28"/>
                <w:lang w:val="zh-CN"/>
              </w:rPr>
            </w:pPr>
          </w:p>
        </w:tc>
        <w:tc>
          <w:tcPr>
            <w:tcW w:w="1489" w:type="dxa"/>
            <w:vAlign w:val="top"/>
          </w:tcPr>
          <w:p>
            <w:pPr>
              <w:spacing w:line="500" w:lineRule="exact"/>
              <w:outlineLvl w:val="0"/>
              <w:rPr>
                <w:rFonts w:hint="eastAsia" w:ascii="仿宋" w:hAnsi="仿宋" w:eastAsia="仿宋" w:cs="仿宋"/>
                <w:bCs/>
                <w:color w:val="000000"/>
                <w:sz w:val="28"/>
                <w:szCs w:val="28"/>
                <w:lang w:val="zh-CN"/>
              </w:rPr>
            </w:pPr>
          </w:p>
        </w:tc>
        <w:tc>
          <w:tcPr>
            <w:tcW w:w="1406" w:type="dxa"/>
            <w:vAlign w:val="top"/>
          </w:tcPr>
          <w:p>
            <w:pPr>
              <w:spacing w:line="500" w:lineRule="exact"/>
              <w:outlineLvl w:val="0"/>
              <w:rPr>
                <w:rFonts w:hint="eastAsia" w:ascii="仿宋" w:hAnsi="仿宋" w:eastAsia="仿宋" w:cs="仿宋"/>
                <w:bCs/>
                <w:color w:val="000000"/>
                <w:sz w:val="28"/>
                <w:szCs w:val="28"/>
                <w:lang w:val="zh-CN"/>
              </w:rPr>
            </w:pPr>
          </w:p>
        </w:tc>
        <w:tc>
          <w:tcPr>
            <w:tcW w:w="1352" w:type="dxa"/>
            <w:vAlign w:val="top"/>
          </w:tcPr>
          <w:p>
            <w:pPr>
              <w:spacing w:line="500" w:lineRule="exact"/>
              <w:outlineLvl w:val="0"/>
              <w:rPr>
                <w:rFonts w:hint="eastAsia" w:ascii="仿宋" w:hAnsi="仿宋" w:eastAsia="仿宋" w:cs="仿宋"/>
                <w:bCs/>
                <w:color w:val="000000"/>
                <w:sz w:val="28"/>
                <w:szCs w:val="28"/>
                <w:lang w:val="zh-CN"/>
              </w:rPr>
            </w:pPr>
          </w:p>
        </w:tc>
      </w:tr>
    </w:tbl>
    <w:p>
      <w:pPr>
        <w:spacing w:before="240" w:after="60"/>
        <w:outlineLvl w:val="0"/>
        <w:rPr>
          <w:rFonts w:hint="eastAsia" w:ascii="仿宋" w:hAnsi="仿宋" w:eastAsia="仿宋" w:cs="仿宋"/>
          <w:bCs/>
          <w:color w:val="000000"/>
          <w:sz w:val="28"/>
          <w:szCs w:val="28"/>
          <w:lang w:val="zh-CN"/>
        </w:rPr>
      </w:pPr>
    </w:p>
    <w:p>
      <w:pPr>
        <w:spacing w:before="240" w:after="60"/>
        <w:outlineLvl w:val="0"/>
        <w:rPr>
          <w:rFonts w:hint="eastAsia" w:ascii="仿宋" w:hAnsi="仿宋" w:eastAsia="仿宋" w:cs="仿宋"/>
          <w:bCs/>
          <w:color w:val="000000"/>
          <w:sz w:val="28"/>
          <w:szCs w:val="28"/>
          <w:lang w:val="zh-CN"/>
        </w:rPr>
      </w:pPr>
      <w:r>
        <w:rPr>
          <w:rFonts w:hint="eastAsia" w:ascii="仿宋" w:hAnsi="仿宋" w:eastAsia="仿宋" w:cs="仿宋"/>
          <w:bCs/>
          <w:color w:val="000000"/>
          <w:sz w:val="28"/>
          <w:szCs w:val="28"/>
          <w:lang w:val="zh-CN"/>
        </w:rPr>
        <w:t xml:space="preserve">考核单位（盖章、签字）：             被考核单位（盖章、签字）： </w:t>
      </w:r>
    </w:p>
    <w:p>
      <w:pPr>
        <w:pStyle w:val="14"/>
        <w:ind w:firstLine="560" w:firstLineChars="200"/>
        <w:jc w:val="left"/>
        <w:outlineLvl w:val="0"/>
        <w:rPr>
          <w:rFonts w:hint="eastAsia" w:ascii="仿宋" w:hAnsi="仿宋" w:eastAsia="仿宋" w:cs="仿宋"/>
          <w:color w:val="000000"/>
          <w:sz w:val="28"/>
          <w:szCs w:val="28"/>
        </w:rPr>
      </w:pPr>
      <w:r>
        <w:rPr>
          <w:rFonts w:hint="eastAsia" w:ascii="仿宋" w:hAnsi="仿宋" w:eastAsia="仿宋" w:cs="仿宋"/>
          <w:bCs/>
          <w:color w:val="000000"/>
          <w:sz w:val="28"/>
          <w:szCs w:val="28"/>
          <w:lang w:val="zh-CN"/>
        </w:rPr>
        <w:t>时间：                              时间：</w:t>
      </w:r>
    </w:p>
    <w:p>
      <w:pPr>
        <w:spacing w:line="320" w:lineRule="exact"/>
        <w:rPr>
          <w:rFonts w:hint="eastAsia" w:ascii="仿宋" w:hAnsi="仿宋" w:eastAsia="仿宋" w:cs="仿宋"/>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spacing w:line="320" w:lineRule="exact"/>
        <w:jc w:val="center"/>
        <w:rPr>
          <w:rFonts w:hint="eastAsia" w:ascii="仿宋" w:hAnsi="仿宋" w:eastAsia="仿宋" w:cs="仿宋"/>
          <w:b/>
          <w:bCs/>
          <w:kern w:val="0"/>
          <w:sz w:val="24"/>
          <w:szCs w:val="24"/>
        </w:rPr>
      </w:pPr>
    </w:p>
    <w:p>
      <w:pPr>
        <w:rPr>
          <w:rFonts w:hint="eastAsia" w:ascii="仿宋" w:hAnsi="仿宋" w:eastAsia="仿宋" w:cs="仿宋"/>
          <w:b/>
          <w:bCs/>
          <w:sz w:val="28"/>
          <w:szCs w:val="28"/>
          <w:lang w:val="zh-CN"/>
        </w:rPr>
      </w:pPr>
      <w:r>
        <w:rPr>
          <w:rFonts w:hint="eastAsia" w:ascii="仿宋" w:hAnsi="仿宋" w:eastAsia="仿宋" w:cs="仿宋"/>
          <w:b/>
          <w:bCs/>
          <w:sz w:val="28"/>
          <w:szCs w:val="28"/>
          <w:lang w:val="zh-CN"/>
        </w:rPr>
        <w:t>附件2：</w:t>
      </w:r>
    </w:p>
    <w:p>
      <w:pPr>
        <w:ind w:firstLine="562" w:firstLineChars="200"/>
        <w:jc w:val="center"/>
        <w:rPr>
          <w:rFonts w:hint="eastAsia" w:ascii="仿宋" w:hAnsi="仿宋" w:eastAsia="仿宋" w:cs="仿宋"/>
          <w:b/>
          <w:bCs/>
          <w:sz w:val="28"/>
          <w:szCs w:val="28"/>
          <w:lang w:val="zh-CN"/>
        </w:rPr>
      </w:pPr>
      <w:r>
        <w:rPr>
          <w:rFonts w:hint="eastAsia" w:ascii="仿宋" w:hAnsi="仿宋" w:eastAsia="仿宋" w:cs="仿宋"/>
          <w:b/>
          <w:bCs/>
          <w:sz w:val="28"/>
          <w:szCs w:val="28"/>
          <w:lang w:val="zh-CN"/>
        </w:rPr>
        <w:t>物业委托管理服务考核评分说明</w:t>
      </w:r>
    </w:p>
    <w:p>
      <w:pPr>
        <w:ind w:firstLine="560" w:firstLineChars="200"/>
        <w:rPr>
          <w:rFonts w:hint="eastAsia" w:ascii="仿宋" w:hAnsi="仿宋" w:eastAsia="仿宋" w:cs="仿宋"/>
          <w:sz w:val="28"/>
          <w:szCs w:val="28"/>
          <w:lang w:val="zh-CN"/>
        </w:rPr>
      </w:pP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一、实行按自然月度考核的原则。</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二、实行各物业点独立考核的原则。</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三、每处物业点月度考评分分值均按100分来计。考核采用百分制，考核分≥90分为合格，考核分＜90分为不合格。考核评分结果作为各物业点管理工作质量评价、费用核算及其它奖惩的重要依据。</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如该月考核分≥90分，则全额支付该月委托服务费；如该月考核分＜90分且月考核分≥85分的，按每少1分扣除当月该物业点委托服务费总额的1.0%；如该月考核分＜85分的，除了对少于90分部分按前款扣减委托服务费外，另对少于85分部分按每少1分扣除当月该物业点委托服务费总额的2.0%。</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合同履行期间，若出现连续2 个月考核分＜90分或在连续12个月周期中出现累计三个月考核分＜85分的，甲方单方解除本合同。</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合同履行期间，因乙方未正确履行责任而造成财物、人身重大损害或发生重大安全责任事故的，当月考核直接评定为不合格，对应物业点的委托服务费视情况按20-100%比例扣减该物业点的委托服务费。性质恶劣的，甲方有权单方解除本合同，乙方应向甲方承担已发生服务费总额10%的违约金；违约金不足以弥补甲方损失的，乙方应继续补足赔偿。</w:t>
      </w:r>
    </w:p>
    <w:p>
      <w:pPr>
        <w:pStyle w:val="2"/>
        <w:spacing w:after="0" w:line="320" w:lineRule="exact"/>
        <w:ind w:left="0" w:leftChars="0" w:firstLine="0"/>
        <w:rPr>
          <w:rFonts w:hint="eastAsia" w:ascii="仿宋" w:hAnsi="仿宋" w:eastAsia="仿宋" w:cs="仿宋"/>
          <w:kern w:val="0"/>
          <w:sz w:val="24"/>
        </w:rPr>
      </w:pPr>
    </w:p>
    <w:p>
      <w:pPr>
        <w:pStyle w:val="2"/>
        <w:spacing w:after="0" w:line="320" w:lineRule="exact"/>
        <w:ind w:left="0" w:leftChars="0" w:firstLine="640"/>
        <w:rPr>
          <w:rFonts w:hint="eastAsia" w:ascii="仿宋" w:hAnsi="仿宋" w:eastAsia="仿宋" w:cs="仿宋"/>
          <w:kern w:val="0"/>
          <w:sz w:val="24"/>
        </w:rPr>
      </w:pPr>
    </w:p>
    <w:p>
      <w:pPr>
        <w:spacing w:line="320" w:lineRule="exact"/>
        <w:rPr>
          <w:rFonts w:hint="eastAsia" w:ascii="仿宋" w:hAnsi="仿宋" w:eastAsia="仿宋" w:cs="仿宋"/>
          <w:b/>
          <w:kern w:val="0"/>
          <w:sz w:val="24"/>
          <w:szCs w:val="24"/>
        </w:rPr>
      </w:pPr>
    </w:p>
    <w:p>
      <w:pPr>
        <w:pStyle w:val="11"/>
        <w:rPr>
          <w:rFonts w:hint="eastAsia" w:ascii="仿宋" w:hAnsi="仿宋" w:eastAsia="仿宋" w:cs="仿宋"/>
          <w:b/>
          <w:kern w:val="0"/>
          <w:sz w:val="24"/>
          <w:szCs w:val="24"/>
        </w:rPr>
      </w:pPr>
    </w:p>
    <w:p>
      <w:pPr>
        <w:rPr>
          <w:rFonts w:hint="eastAsia" w:ascii="仿宋" w:hAnsi="仿宋" w:eastAsia="仿宋" w:cs="仿宋"/>
          <w:b/>
          <w:kern w:val="0"/>
          <w:sz w:val="24"/>
          <w:szCs w:val="24"/>
        </w:rPr>
      </w:pPr>
    </w:p>
    <w:p>
      <w:pPr>
        <w:spacing w:line="400" w:lineRule="exact"/>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附件3：</w:t>
      </w:r>
    </w:p>
    <w:p>
      <w:pPr>
        <w:spacing w:line="4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《物业工程服务标准化手册目录》</w:t>
      </w:r>
    </w:p>
    <w:p>
      <w:pPr>
        <w:pStyle w:val="2"/>
        <w:rPr>
          <w:rFonts w:hint="eastAsia" w:ascii="仿宋" w:hAnsi="仿宋" w:eastAsia="仿宋" w:cs="仿宋"/>
        </w:rPr>
      </w:pPr>
    </w:p>
    <w:tbl>
      <w:tblPr>
        <w:tblW w:w="10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68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标准名称</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一</w:t>
            </w:r>
          </w:p>
        </w:tc>
        <w:tc>
          <w:tcPr>
            <w:tcW w:w="92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基础管理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日常业务管理工作计划模块标准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物业服务中心办公物资配置标准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工服配置标准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对讲机配置标准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重大事件报告管理标准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重大突发事件应急处理管理标准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外包合同履约管理标准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外包单位员工考勤监督管理标准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二</w:t>
            </w:r>
          </w:p>
        </w:tc>
        <w:tc>
          <w:tcPr>
            <w:tcW w:w="92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仓库管理标准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三</w:t>
            </w:r>
          </w:p>
        </w:tc>
        <w:tc>
          <w:tcPr>
            <w:tcW w:w="92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客户服务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物业服务人员行为规范</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装修管理标准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空置房管理标准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现场巡查管理标准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外包装修垃圾清运监督管理标准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钥匙管理标准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7685" w:type="dxa"/>
            <w:tcBorders>
              <w:top w:val="single" w:color="000000" w:sz="4" w:space="0"/>
              <w:left w:val="single" w:color="000000" w:sz="4" w:space="0"/>
              <w:bottom w:val="single" w:color="000000" w:sz="4" w:space="0"/>
              <w:right w:val="nil"/>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档案资料管理标准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四</w:t>
            </w:r>
          </w:p>
        </w:tc>
        <w:tc>
          <w:tcPr>
            <w:tcW w:w="92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工程及设备管理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工程基础管理标准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工程现场管理标准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设施设备管理标准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设施设备分类编号标准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设备房管理标准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施工现场管理标准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7</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工程作业工机具使用维护管理标准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8</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工程作业安全管理标准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工程类外包服务监督管理标准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10</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运行值班管理标准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11</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电梯巡检管理标准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12</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电梯维保监督检查管理标准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13</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电梯机房管理标准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14</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给排水系统巡检管理标准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15</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给排水系统保养管理标准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16</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水泵房管理标准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17</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暖通空调巡检管理标准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暖通空调保养管理标准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19</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暖通空调机房管理标准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20</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智能化系统巡检管理标准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21</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智能化系统保养管理标准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22</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消防系统巡检管理标准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23</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消防系统保养管理标准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24</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消防联动测试标准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25</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供配电巡检管理标准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26</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供配电保养管理标准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27</w:t>
            </w:r>
          </w:p>
        </w:tc>
        <w:tc>
          <w:tcPr>
            <w:tcW w:w="7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 w:hAnsi="仿宋" w:eastAsia="仿宋" w:cs="仿宋"/>
                <w:sz w:val="24"/>
                <w:szCs w:val="24"/>
              </w:rPr>
            </w:pPr>
            <w:r>
              <w:rPr>
                <w:rFonts w:hint="eastAsia" w:ascii="仿宋" w:hAnsi="仿宋" w:eastAsia="仿宋" w:cs="仿宋"/>
                <w:kern w:val="0"/>
                <w:sz w:val="24"/>
                <w:szCs w:val="24"/>
              </w:rPr>
              <w:t>供配电房管理标准</w:t>
            </w:r>
          </w:p>
        </w:tc>
        <w:tc>
          <w:tcPr>
            <w:tcW w:w="154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24"/>
                <w:szCs w:val="24"/>
              </w:rPr>
            </w:pPr>
          </w:p>
        </w:tc>
      </w:tr>
    </w:tbl>
    <w:p>
      <w:pPr>
        <w:spacing w:line="320" w:lineRule="exact"/>
        <w:rPr>
          <w:rFonts w:hint="eastAsia" w:ascii="仿宋" w:hAnsi="仿宋" w:eastAsia="仿宋" w:cs="仿宋"/>
          <w:sz w:val="24"/>
          <w:szCs w:val="24"/>
        </w:rPr>
      </w:pPr>
    </w:p>
    <w:p>
      <w:pPr>
        <w:pStyle w:val="11"/>
        <w:spacing w:line="320" w:lineRule="exact"/>
        <w:rPr>
          <w:rFonts w:ascii="宋体" w:hAnsi="宋体" w:eastAsia="宋体" w:cs="宋体"/>
          <w:sz w:val="24"/>
          <w:szCs w:val="24"/>
        </w:rPr>
      </w:pPr>
    </w:p>
    <w:p>
      <w:pPr>
        <w:spacing w:line="320" w:lineRule="exact"/>
        <w:rPr>
          <w:rFonts w:ascii="宋体" w:hAnsi="宋体" w:eastAsia="宋体" w:cs="宋体"/>
          <w:sz w:val="24"/>
          <w:szCs w:val="24"/>
        </w:rPr>
      </w:pPr>
    </w:p>
    <w:p>
      <w:pPr>
        <w:pStyle w:val="11"/>
        <w:spacing w:line="320" w:lineRule="exact"/>
        <w:rPr>
          <w:rFonts w:ascii="宋体" w:hAnsi="宋体" w:eastAsia="宋体" w:cs="宋体"/>
          <w:sz w:val="24"/>
          <w:szCs w:val="24"/>
        </w:rPr>
      </w:pPr>
    </w:p>
    <w:p>
      <w:pPr>
        <w:spacing w:line="320" w:lineRule="exact"/>
        <w:rPr>
          <w:rFonts w:ascii="宋体" w:hAnsi="宋体" w:eastAsia="宋体" w:cs="宋体"/>
          <w:sz w:val="24"/>
          <w:szCs w:val="24"/>
        </w:rPr>
      </w:pPr>
    </w:p>
    <w:p>
      <w:pPr>
        <w:spacing w:line="320" w:lineRule="exact"/>
        <w:rPr>
          <w:rFonts w:ascii="宋体" w:hAnsi="宋体" w:eastAsia="宋体" w:cs="宋体"/>
          <w:sz w:val="24"/>
          <w:szCs w:val="24"/>
        </w:rPr>
      </w:pPr>
    </w:p>
    <w:p>
      <w:pPr>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lang w:val="zh-CN"/>
        </w:rPr>
        <w:t>附件</w:t>
      </w:r>
      <w:r>
        <w:rPr>
          <w:rFonts w:hint="eastAsia" w:ascii="仿宋" w:hAnsi="仿宋" w:eastAsia="仿宋" w:cs="仿宋"/>
          <w:b/>
          <w:bCs/>
          <w:sz w:val="28"/>
          <w:szCs w:val="28"/>
        </w:rPr>
        <w:t>4</w:t>
      </w:r>
      <w:r>
        <w:rPr>
          <w:rFonts w:hint="eastAsia" w:ascii="仿宋" w:hAnsi="仿宋" w:eastAsia="仿宋" w:cs="仿宋"/>
          <w:b/>
          <w:bCs/>
          <w:sz w:val="28"/>
          <w:szCs w:val="28"/>
          <w:lang w:val="zh-CN"/>
        </w:rPr>
        <w:t>：</w:t>
      </w:r>
    </w:p>
    <w:p>
      <w:pPr>
        <w:ind w:firstLine="643" w:firstLineChars="20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廉政采购协议</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为保证双方在公平、公正、公开原则下履行双方签订的相关业务合同（货物、服务、工程建设等采购），避免腐败事件发生，有效保护甲乙方双方合法利益，使双方能建立长期的合作关系，根据《中华人民共和国民典法》等法律法规和中纪委关于廉政建设方面的规定，甲乙双方经协商签订本协议，以便双方共同遵守。</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第一条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乙方对甲方的让利放在明处，不得以回扣、酬金、奖励等名目，将让利转给甲方业务人员。</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第二条  一经发现乙方有违反本协议或者采用不正当的手段行贿甲方工作人员行为的，甲方有权对乙方同时采取下列任一项或多项措施：</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1、要求乙方限期纠正；</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2、甲方有权扣留全部履约保证金或暂停合同费用支付；</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3、甲方有权根据情节严重情况、后果影响程度及损害范围等，要求乙方按合同总额（如未签订正式合同则按照乙方投标文件载明的投标总额，下同）的1%-10%支付违约金，并要求乙方赔偿给甲方造成的全部损失</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4、甲方有权单方解除合同，而无需承担任何违约责任；</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第三条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第四条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于追究。</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第五条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乙方如发现甲方工作人员或其他甲方合作单位有违反本协议者，应向甲方举报。甲方应依法保护举报人员，并给举报有功人员予以奖励。</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投诉举报途径：</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电话：0771-5825095</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邮箱：wkjjjcs@163.com</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地址：中国（广西）自由贸易试验区南宁片区歌海路9号广西体育中心配套工程综合体西座第十二层</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邮编：530000</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本协议一式两份，甲乙双方各执一份，甲、乙双方要确保所有相关业务人员知晓本协议内容。本协议作为主合同附件，与主合同同时签订，与主合同具备同等法律效力，经甲乙双方签字盖章后生效。</w:t>
      </w:r>
    </w:p>
    <w:p>
      <w:pPr>
        <w:widowControl w:val="0"/>
        <w:wordWrap/>
        <w:adjustRightInd/>
        <w:snapToGrid/>
        <w:ind w:firstLine="560" w:firstLineChars="200"/>
        <w:textAlignment w:val="auto"/>
        <w:rPr>
          <w:rFonts w:hint="eastAsia" w:ascii="仿宋" w:hAnsi="仿宋" w:eastAsia="仿宋" w:cs="仿宋"/>
          <w:sz w:val="28"/>
          <w:szCs w:val="28"/>
          <w:lang w:val="zh-CN"/>
        </w:rPr>
      </w:pP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甲方（公章）：                             乙方（公章）：</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地址：                                    地址：</w:t>
      </w:r>
    </w:p>
    <w:p>
      <w:pPr>
        <w:widowControl w:val="0"/>
        <w:wordWrap/>
        <w:adjustRightInd/>
        <w:snapToGrid/>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日期：                                    日期：</w:t>
      </w:r>
    </w:p>
    <w:p>
      <w:pPr>
        <w:ind w:firstLine="560" w:firstLineChars="200"/>
        <w:rPr>
          <w:rFonts w:ascii="仿宋_GB2312" w:hAnsi="仿宋_GB2312" w:eastAsia="仿宋_GB2312" w:cs="仿宋_GB2312"/>
          <w:sz w:val="28"/>
          <w:szCs w:val="28"/>
          <w:lang w:val="zh-CN"/>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lang w:val="zh-CN"/>
        </w:rPr>
      </w:pPr>
    </w:p>
    <w:p/>
    <w:p>
      <w:pPr>
        <w:rPr>
          <w:rFonts w:hint="default"/>
          <w:lang w:val="en-US" w:eastAsia="zh-CN"/>
        </w:rPr>
      </w:pPr>
    </w:p>
    <w:p>
      <w:pPr>
        <w:jc w:val="left"/>
        <w:rPr>
          <w:rFonts w:hint="eastAsia" w:ascii="宋体" w:hAnsi="宋体" w:eastAsia="宋体" w:cs="宋体"/>
          <w:b w:val="0"/>
          <w:bCs w:val="0"/>
          <w:color w:val="000000"/>
          <w:sz w:val="24"/>
          <w:szCs w:val="24"/>
        </w:rPr>
      </w:pPr>
    </w:p>
    <w:p>
      <w:pPr>
        <w:jc w:val="left"/>
        <w:rPr>
          <w:rFonts w:hint="eastAsia" w:ascii="宋体" w:hAnsi="宋体" w:eastAsia="宋体" w:cs="宋体"/>
          <w:b w:val="0"/>
          <w:bCs w:val="0"/>
          <w:color w:val="000000"/>
          <w:sz w:val="24"/>
          <w:szCs w:val="24"/>
        </w:rPr>
      </w:pPr>
    </w:p>
    <w:p>
      <w:pPr>
        <w:jc w:val="left"/>
        <w:rPr>
          <w:rFonts w:hint="eastAsia" w:ascii="宋体" w:hAnsi="宋体" w:eastAsia="宋体" w:cs="宋体"/>
          <w:b w:val="0"/>
          <w:bCs w:val="0"/>
          <w:color w:val="000000"/>
          <w:sz w:val="24"/>
          <w:szCs w:val="24"/>
          <w:lang w:val="en-US" w:eastAsia="zh-CN"/>
        </w:rPr>
      </w:pPr>
    </w:p>
    <w:sectPr>
      <w:headerReference r:id="rId5" w:type="default"/>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Pr>
    <w:r>
      <w:rPr>
        <w:rFonts w:ascii="Calibri" w:hAnsi="Calibri" w:eastAsia="宋体" w:cs="黑体"/>
        <w:kern w:val="2"/>
        <w:sz w:val="18"/>
        <w:szCs w:val="18"/>
        <w:lang w:val="en-US" w:eastAsia="zh-CN" w:bidi="ar-SA"/>
      </w:rPr>
      <w:pict>
        <v:rect id="文本框 1" o:spid="_x0000_s1025" style="position:absolute;left:0;margin-left:188.45pt;margin-top:-15.75pt;height:144pt;width:144p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- 1 -</w:t>
    </w:r>
    <w:r>
      <w:rPr>
        <w:rFonts w:ascii="宋体" w:hAnsi="宋体"/>
        <w:sz w:val="21"/>
        <w:szCs w:val="21"/>
      </w:rPr>
      <w:fldChar w:fldCharType="end"/>
    </w:r>
  </w:p>
  <w:p>
    <w:pPr>
      <w:pStyle w:val="16"/>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Bdr>
        <w:bottom w:val="none" w:color="auto" w:sz="0" w:space="1"/>
      </w:pBdr>
      <w:ind w:firstLine="8160" w:firstLineChars="3400"/>
      <w:jc w:val="both"/>
      <w:rPr>
        <w:rFonts w:ascii="Cambria" w:hAnsi="Cambr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38990195">
    <w:nsid w:val="CCFAD373"/>
    <w:multiLevelType w:val="singleLevel"/>
    <w:tmpl w:val="CCFAD373"/>
    <w:lvl w:ilvl="0" w:tentative="1">
      <w:start w:val="1"/>
      <w:numFmt w:val="chineseCounting"/>
      <w:suff w:val="space"/>
      <w:lvlText w:val="第%1条"/>
      <w:lvlJc w:val="left"/>
      <w:rPr>
        <w:rFonts w:hint="eastAsia"/>
      </w:rPr>
    </w:lvl>
  </w:abstractNum>
  <w:num w:numId="1">
    <w:abstractNumId w:val="34389901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spacing w:line="480" w:lineRule="auto"/>
      <w:jc w:val="center"/>
      <w:outlineLvl w:val="0"/>
    </w:pPr>
    <w:rPr>
      <w:rFonts w:ascii="华文细黑" w:hAnsi="华文细黑" w:eastAsia="华文细黑"/>
      <w:b/>
      <w:sz w:val="36"/>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0">
    <w:name w:val="Default Paragraph Font"/>
    <w:semiHidden/>
    <w:unhideWhenUsed/>
    <w:qFormat/>
    <w:uiPriority w:val="1"/>
  </w:style>
  <w:style w:type="paragraph" w:styleId="2">
    <w:name w:val="Body Text First Indent 2"/>
    <w:basedOn w:val="3"/>
    <w:qFormat/>
    <w:uiPriority w:val="0"/>
    <w:pPr>
      <w:jc w:val="left"/>
    </w:pPr>
    <w:rPr>
      <w:rFonts w:eastAsia="宋体"/>
    </w:rPr>
  </w:style>
  <w:style w:type="paragraph" w:styleId="3">
    <w:name w:val="Body Text Indent"/>
    <w:basedOn w:val="1"/>
    <w:qFormat/>
    <w:uiPriority w:val="0"/>
    <w:pPr>
      <w:spacing w:after="120"/>
      <w:ind w:left="420" w:leftChars="200"/>
    </w:pPr>
  </w:style>
  <w:style w:type="paragraph" w:styleId="8">
    <w:name w:val="annotation subject"/>
    <w:basedOn w:val="9"/>
    <w:next w:val="9"/>
    <w:link w:val="39"/>
    <w:semiHidden/>
    <w:unhideWhenUsed/>
    <w:qFormat/>
    <w:uiPriority w:val="99"/>
    <w:rPr>
      <w:b/>
      <w:bCs/>
    </w:rPr>
  </w:style>
  <w:style w:type="paragraph" w:styleId="9">
    <w:name w:val="annotation text"/>
    <w:basedOn w:val="1"/>
    <w:link w:val="38"/>
    <w:semiHidden/>
    <w:unhideWhenUsed/>
    <w:qFormat/>
    <w:uiPriority w:val="99"/>
    <w:pPr>
      <w:jc w:val="left"/>
    </w:pPr>
  </w:style>
  <w:style w:type="paragraph" w:styleId="10">
    <w:name w:val="Normal Indent"/>
    <w:basedOn w:val="1"/>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11">
    <w:name w:val="Body Text"/>
    <w:basedOn w:val="1"/>
    <w:next w:val="1"/>
    <w:qFormat/>
    <w:uiPriority w:val="0"/>
    <w:pPr>
      <w:spacing w:after="120"/>
    </w:pPr>
    <w:rPr>
      <w:rFonts w:ascii="Times New Roman" w:hAnsi="Times New Roman" w:eastAsia="宋体"/>
      <w:sz w:val="28"/>
    </w:rPr>
  </w:style>
  <w:style w:type="paragraph" w:styleId="12">
    <w:name w:val="Block Text"/>
    <w:basedOn w:val="1"/>
    <w:next w:val="7"/>
    <w:qFormat/>
    <w:uiPriority w:val="0"/>
    <w:pPr>
      <w:adjustRightInd w:val="0"/>
      <w:ind w:left="420" w:right="33"/>
      <w:jc w:val="left"/>
      <w:textAlignment w:val="baseline"/>
    </w:pPr>
    <w:rPr>
      <w:kern w:val="0"/>
      <w:sz w:val="24"/>
      <w:szCs w:val="20"/>
    </w:rPr>
  </w:style>
  <w:style w:type="paragraph" w:styleId="13">
    <w:name w:val="toc 3"/>
    <w:basedOn w:val="1"/>
    <w:next w:val="1"/>
    <w:qFormat/>
    <w:uiPriority w:val="39"/>
    <w:pPr>
      <w:ind w:left="840" w:leftChars="400"/>
    </w:pPr>
    <w:rPr>
      <w:sz w:val="24"/>
    </w:rPr>
  </w:style>
  <w:style w:type="paragraph" w:styleId="14">
    <w:name w:val="Plain Text"/>
    <w:basedOn w:val="1"/>
    <w:next w:val="1"/>
    <w:qFormat/>
    <w:uiPriority w:val="0"/>
    <w:rPr>
      <w:rFonts w:ascii="宋体" w:hAnsi="Courier New" w:eastAsia="宋体" w:cs="Times New Roman"/>
    </w:rPr>
  </w:style>
  <w:style w:type="paragraph" w:styleId="15">
    <w:name w:val="Balloon Text"/>
    <w:basedOn w:val="1"/>
    <w:link w:val="40"/>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sz w:val="24"/>
    </w:rPr>
  </w:style>
  <w:style w:type="paragraph" w:styleId="19">
    <w:name w:val="toc 2"/>
    <w:basedOn w:val="1"/>
    <w:next w:val="1"/>
    <w:qFormat/>
    <w:uiPriority w:val="39"/>
    <w:pPr>
      <w:ind w:left="420" w:leftChars="200"/>
    </w:pPr>
    <w:rPr>
      <w:sz w:val="24"/>
    </w:rPr>
  </w:style>
  <w:style w:type="character" w:styleId="21">
    <w:name w:val="page number"/>
    <w:basedOn w:val="20"/>
    <w:qFormat/>
    <w:uiPriority w:val="0"/>
    <w:rPr/>
  </w:style>
  <w:style w:type="character" w:styleId="22">
    <w:name w:val="annotation reference"/>
    <w:basedOn w:val="20"/>
    <w:semiHidden/>
    <w:unhideWhenUsed/>
    <w:qFormat/>
    <w:uiPriority w:val="99"/>
    <w:rPr>
      <w:sz w:val="21"/>
      <w:szCs w:val="21"/>
    </w:rPr>
  </w:style>
  <w:style w:type="paragraph" w:customStyle="1" w:styleId="2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4">
    <w:name w:val="xl24"/>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cs="Times New Roman"/>
      <w:sz w:val="28"/>
      <w:lang w:val="en-US" w:eastAsia="zh-CN" w:bidi="ar-SA"/>
    </w:rPr>
  </w:style>
  <w:style w:type="paragraph" w:customStyle="1" w:styleId="25">
    <w:name w:val="_Style 6"/>
    <w:basedOn w:val="4"/>
    <w:next w:val="1"/>
    <w:qFormat/>
    <w:uiPriority w:val="39"/>
    <w:pPr>
      <w:keepNext/>
      <w:keepLines/>
      <w:widowControl/>
      <w:spacing w:before="480" w:line="276" w:lineRule="auto"/>
      <w:jc w:val="left"/>
      <w:outlineLvl w:val="9"/>
    </w:pPr>
    <w:rPr>
      <w:rFonts w:ascii="Cambria" w:hAnsi="Cambria" w:eastAsia="宋体"/>
      <w:color w:val="365F91"/>
      <w:kern w:val="0"/>
      <w:sz w:val="28"/>
    </w:rPr>
  </w:style>
  <w:style w:type="paragraph" w:customStyle="1" w:styleId="26">
    <w:name w:val="列出段落11"/>
    <w:basedOn w:val="1"/>
    <w:qFormat/>
    <w:uiPriority w:val="34"/>
    <w:pPr>
      <w:ind w:firstLine="420" w:firstLineChars="200"/>
    </w:pPr>
  </w:style>
  <w:style w:type="paragraph" w:customStyle="1" w:styleId="27">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28">
    <w:name w:val="三级"/>
    <w:basedOn w:val="6"/>
    <w:qFormat/>
    <w:uiPriority w:val="0"/>
    <w:rPr>
      <w:rFonts w:ascii="宋体" w:hAnsi="宋体"/>
      <w:sz w:val="24"/>
    </w:rPr>
  </w:style>
  <w:style w:type="paragraph" w:customStyle="1" w:styleId="29">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30">
    <w:name w:val="二级无"/>
    <w:basedOn w:val="1"/>
    <w:qFormat/>
    <w:uiPriority w:val="0"/>
    <w:pPr>
      <w:widowControl/>
      <w:ind w:left="568"/>
      <w:jc w:val="left"/>
      <w:outlineLvl w:val="3"/>
    </w:pPr>
    <w:rPr>
      <w:rFonts w:ascii="宋体"/>
      <w:kern w:val="0"/>
      <w:szCs w:val="21"/>
    </w:rPr>
  </w:style>
  <w:style w:type="paragraph" w:customStyle="1" w:styleId="31">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33">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34">
    <w:name w:val="List Paragraph"/>
    <w:basedOn w:val="1"/>
    <w:qFormat/>
    <w:uiPriority w:val="0"/>
    <w:pPr>
      <w:ind w:firstLine="420" w:firstLineChars="200"/>
    </w:pPr>
  </w:style>
  <w:style w:type="paragraph" w:customStyle="1" w:styleId="35">
    <w:name w:val="表格文字"/>
    <w:basedOn w:val="1"/>
    <w:next w:val="11"/>
    <w:qFormat/>
    <w:uiPriority w:val="0"/>
    <w:pPr>
      <w:widowControl/>
      <w:spacing w:before="0" w:beforeAutospacing="0" w:after="0" w:afterAutospacing="0"/>
      <w:ind w:left="0" w:right="0"/>
      <w:jc w:val="center"/>
    </w:pPr>
    <w:rPr>
      <w:rFonts w:hint="default" w:ascii="Times New Roman" w:hAnsi="Times New Roman" w:eastAsia="宋体" w:cs="Times New Roman"/>
      <w:kern w:val="2"/>
      <w:sz w:val="21"/>
      <w:szCs w:val="21"/>
      <w:lang w:val="en-US" w:eastAsia="zh-CN"/>
    </w:rPr>
  </w:style>
  <w:style w:type="character" w:customStyle="1" w:styleId="36">
    <w:name w:val="页眉 字符"/>
    <w:basedOn w:val="20"/>
    <w:link w:val="17"/>
    <w:qFormat/>
    <w:uiPriority w:val="99"/>
    <w:rPr>
      <w:sz w:val="18"/>
      <w:szCs w:val="18"/>
    </w:rPr>
  </w:style>
  <w:style w:type="character" w:customStyle="1" w:styleId="37">
    <w:name w:val="页脚 字符"/>
    <w:basedOn w:val="20"/>
    <w:link w:val="16"/>
    <w:qFormat/>
    <w:uiPriority w:val="99"/>
    <w:rPr>
      <w:sz w:val="18"/>
      <w:szCs w:val="18"/>
    </w:rPr>
  </w:style>
  <w:style w:type="character" w:customStyle="1" w:styleId="38">
    <w:name w:val="批注文字 字符"/>
    <w:basedOn w:val="20"/>
    <w:link w:val="9"/>
    <w:semiHidden/>
    <w:qFormat/>
    <w:uiPriority w:val="99"/>
    <w:rPr/>
  </w:style>
  <w:style w:type="character" w:customStyle="1" w:styleId="39">
    <w:name w:val="批注主题 字符"/>
    <w:basedOn w:val="38"/>
    <w:link w:val="8"/>
    <w:semiHidden/>
    <w:qFormat/>
    <w:uiPriority w:val="99"/>
    <w:rPr>
      <w:b/>
      <w:bCs/>
    </w:rPr>
  </w:style>
  <w:style w:type="character" w:customStyle="1" w:styleId="40">
    <w:name w:val="批注框文本 字符"/>
    <w:basedOn w:val="20"/>
    <w:link w:val="15"/>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7521</Words>
  <Characters>7717</Characters>
  <Lines>45</Lines>
  <Paragraphs>12</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2021-01-25T02:31:00Z</dcterms:created>
  <dc:creator>邓宁</dc:creator>
  <cp:lastModifiedBy>Administrator</cp:lastModifiedBy>
  <cp:lastPrinted>2023-11-20T08:13:00Z</cp:lastPrinted>
  <dcterms:modified xsi:type="dcterms:W3CDTF">2023-12-23T08:01:24Z</dcterms:modified>
  <dc:title>南宁威凯智慧物业服务有限公司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B63ECEC7CC234E75B13F2499A20A0735</vt:lpwstr>
  </property>
</Properties>
</file>